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36BB51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CURSO SUPERIOR DE TECNOLOGIA EM PROCESSOS GERENCIAIS – CEUNSP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0B05E9DC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</w:p>
    <w:p w14:paraId="5D6D64D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ATA Nº 04/25 DE REUNIÃO DO COLEGIADO DO CURSO SUPERIOR DE TECNOLOGIA EM PROCESSOS GERENCIAIS DO CENTRO UNIVERSITÁRIO NOSSA SENHORA DO PATROCÍNIO – CEUNSP, REALIZADA EM 12 DE DEZEMBRO DE 2025.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28385F6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 w14:paraId="6FA528A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Aos doze dias do mês de dezembro do ano de dois mil e vinte e cinco,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sexta-feira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na sala da coordenação do curso, localizada no Campus II do Centro Universitário Nossa Senhora do Patrocínio – CEUNSP, realizou-se reunião do Colegiado do Curso Superior de Tecnologia em Processos Gerenciais, presidida pelo Coordenador do Curso,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Prof. Alex Sandro Benetti Dias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contando com a participação dos docentes: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Prof. Gilmar Cardozo de Jesus; Profa. Gisele Massarani Alexandre de Carvalho; Prof. Sandro Luiz de Carvalho Neves; Profa. Juliana Aline Fungaro Ribeiro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e dos representantes discentes regularmente convocados.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2FDE2F3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O coordenador deu início à reunião agradecendo a presença de todos e apresentou a pauta: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37D01DEF">
      <w:pPr>
        <w:pStyle w:val="165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Encerramento do semestre e do ano letivo de 2025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o coordenador realizou uma avaliação geral das atividades acadêmicas desenvolvidas ao longo do semestre e do ano letivo, destacando os avanços obtidos, os desafios enfrentados e os resultados alcançados pelo curso.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338EF3E6">
      <w:pPr>
        <w:pStyle w:val="165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Agradecimentos ao corpo docente e discente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o coordenador registrou formalmente seus agradecimentos pelo comprometimento, empenho e colaboração de todos os docentes e alunos, ressaltando a importância do trabalho coletivo para a manutenção da qualidade acadêmica e para o fortalecimento do Curso de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Processos Gerenciais.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2FDC6AD6">
      <w:pPr>
        <w:pStyle w:val="165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Atenção ao calendário acadêmico do ano docente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foi reforçada a importância do cumprimento rigoroso do calendário acadêmico institucional, incluindo prazos de avaliações, lançamentos de notas, registros acadêmicos e desenvolvimento das atividades pedagógicas, garantindo organização e transparência no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processo de ensino-aprendizagem.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7626488C">
      <w:pPr>
        <w:pStyle w:val="165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Controle de frequência e faltas dos alunos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o coordenador destacou a relevância do acompanhamento sistemático da frequência discente, orientando os docentes a manterem registros atualizados e a alertarem os alunos quanto aos limites legais de faltas, visando à prevenção de retenções e à responsabi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lidade acadêmica.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174279D7">
      <w:pPr>
        <w:pStyle w:val="165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Apontamentos para o próximo ano letivo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foi reforçado que as experiências vivenciadas em 2025 servirão como base para o aprimoramento contínuo das práticas pedagógicas, administrativas e acadêmicas do curso nos próximos semestres.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1E31B4F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Ao final da reunião, o coordenador reiterou seus agradecimentos a todos os presentes, desejando êxito no período de recesso e sucesso no planejamento e execução das atividades do próximo ano letivo.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07BE011D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Não havendo outros assuntos a tratar, foi encerrada a reunião, determinando-se a lavratura da presente ata que, após lida e aprovada, será assinada pelos presentes.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50737C7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60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</w:p>
    <w:p w14:paraId="3488DFE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60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Assinaturas – Docentes:</w:t>
      </w:r>
      <w:r>
        <w:rPr>
          <w:rFonts w:ascii="Times New Roman" w:hAnsi="Times New Roman" w:eastAsia="Times New Roman" w:cs="Times New Roman"/>
        </w:rPr>
      </w:r>
    </w:p>
    <w:p w14:paraId="54677200" w14:textId="048292CD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Alex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Sandro Benetti Dias 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373D8BAF" w14:textId="33E5A4E1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Gilmar Cardozo de Jesus 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2F6170A" w14:textId="11C95538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Profa. Gisele Massarani A. de Carvalho 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47A58ED" w14:textId="0CA408EC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Sandro Luis de Carvalho Neves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5DAB6C7B" w14:textId="6F66299B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Profa. Juliana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Aline Fungaro Ribeiro_______________________________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02EB378F" w14:textId="77777777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06D8FA9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00" w:lineRule="atLeast"/>
        <w:ind w:right="0" w:firstLine="0" w:left="0"/>
        <w:rPr/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Assinaturas – Discentes:</w:t>
      </w:r>
      <w:r>
        <w:rPr>
          <w:rFonts w:ascii="Segoe UI" w:hAnsi="Segoe UI" w:eastAsia="Segoe UI" w:cs="Segoe UI"/>
          <w:b/>
          <w:color w:val="000000"/>
          <w:sz w:val="21"/>
        </w:rPr>
        <w:br/>
      </w:r>
      <w:r/>
    </w:p>
    <w:p w14:paraId="72A3D3EC" w14:textId="2BB96AE4">
      <w:pPr>
        <w:pBdr/>
        <w:spacing w:line="600" w:lineRule="auto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Hillary Lorena Dias da Mota:____________________________________________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 w14:paraId="7ABA2E35">
      <w:pPr>
        <w:pBdr/>
        <w:spacing w:line="600" w:lineRule="auto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Ana Flávia dos Passos Nascimento:_______________________________________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 w14:paraId="64B45D2C">
      <w:pPr>
        <w:pBdr/>
        <w:spacing w:line="600" w:lineRule="auto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 Rodney Adriano Risso:________________________________________________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 w14:paraId="37450E52">
      <w:pPr>
        <w:pBdr/>
        <w:spacing w:line="600" w:lineRule="auto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 Pamela Aparecida Mendes Paredes:______________________________________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 w14:paraId="6AB4B072">
      <w:pPr>
        <w:pBdr/>
        <w:spacing w:line="600" w:lineRule="auto"/>
        <w:ind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Douglas Rodrigo Vasconcellos</w:t>
      </w:r>
      <w:r>
        <w:rPr>
          <w:b w:val="0"/>
          <w:bCs w:val="0"/>
        </w:rPr>
        <w:t xml:space="preserve">:____________________________________</w:t>
      </w:r>
      <w:r>
        <w:rPr>
          <w:b w:val="0"/>
          <w:bCs w:val="0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993" w:right="1134" w:bottom="851" w:left="1134" w:header="709" w:footer="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353F17FD" w14:textId="77777777">
      <w:pPr>
        <w:pBdr/>
        <w:spacing/>
        <w:ind/>
        <w:rPr/>
      </w:pPr>
      <w:r>
        <w:separator/>
      </w:r>
      <w:r/>
    </w:p>
  </w:endnote>
  <w:endnote w:type="continuationSeparator" w:id="0">
    <w:p w14:paraId="0CCF0E71" w14:textId="77777777"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ahoma">
    <w:panose1 w:val="020B0604030504040204"/>
  </w:font>
  <w:font w:name="Calibri">
    <w:panose1 w:val="020F0502020204030204"/>
  </w:font>
  <w:font w:name="Lucida Grande;Arial">
    <w:panose1 w:val="05040102010807070707"/>
  </w:font>
  <w:font w:name="Verdana">
    <w:panose1 w:val="020B0604030504040204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Microsoft YaHei">
    <w:panose1 w:val="020B0503020204020204"/>
  </w:font>
  <w:font w:name="Arial Narrow">
    <w:panose1 w:val="020B0604020202020204"/>
  </w:font>
  <w:font w:name="Arial">
    <w:panose1 w:val="020B0604020202020204"/>
  </w:font>
  <w:font w:name="Verdana Bold;Verdana">
    <w:panose1 w:val="020B0604030504040204"/>
  </w:font>
  <w:font w:name="SimSun">
    <w:panose1 w:val="02010600030101010101"/>
  </w:font>
  <w:font w:name="Lucida Sans">
    <w:panose1 w:val="020B0602030504020204"/>
  </w:font>
  <w:font w:name="Wingdings">
    <w:panose1 w:val="05000000000000000000"/>
  </w:font>
  <w:font w:name="Liberation Sans">
    <w:panose1 w:val="020B0604020202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5997CC1D" w14:textId="77777777">
    <w:pPr>
      <w:pStyle w:val="1135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2C14D5BA" w14:textId="4ED9175E">
    <w:pPr>
      <w:pStyle w:val="1135"/>
      <w:pBdr/>
      <w:spacing/>
      <w:ind/>
      <w:jc w:val="right"/>
      <w:rPr/>
    </w:pPr>
    <w:r/>
    <w:sdt>
      <w:sdtPr>
        <w15:appearance w15:val="boundingBox"/>
        <w:id w:val="-1390186998"/>
        <w:docPartObj>
          <w:docPartGallery w:val="Page Numbers (Top of Page)"/>
          <w:docPartUnique w:val="true"/>
        </w:docPartObj>
        <w:rPr/>
      </w:sdtPr>
      <w:sdtContent>
        <w:r>
          <w:t xml:space="preserve">Página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 xml:space="preserve">2</w:t>
        </w:r>
        <w:r>
          <w:rPr>
            <w:b/>
            <w:bCs/>
          </w:rPr>
          <w:fldChar w:fldCharType="end"/>
        </w:r>
        <w:r>
          <w:t xml:space="preserve"> de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 xml:space="preserve">2</w:t>
        </w:r>
        <w:r>
          <w:rPr>
            <w:b/>
            <w:bCs/>
          </w:rPr>
          <w:fldChar w:fldCharType="end"/>
        </w:r>
      </w:sdtContent>
    </w:sdt>
    <w:r/>
    <w:r/>
  </w:p>
  <w:p w14:paraId="3FE9F23F" w14:textId="77777777">
    <w:pPr>
      <w:pStyle w:val="1135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053F1E01" w14:textId="17DB902A">
    <w:pPr>
      <w:pStyle w:val="1135"/>
      <w:pBdr/>
      <w:spacing/>
      <w:ind/>
      <w:jc w:val="right"/>
      <w:rPr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</w:rPr>
      <w:fldChar w:fldCharType="separate"/>
    </w:r>
    <w:r>
      <w:rPr>
        <w:b/>
        <w:bCs/>
      </w:rPr>
      <w:t xml:space="preserve"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</w:rPr>
      <w:fldChar w:fldCharType="separate"/>
    </w:r>
    <w:r>
      <w:rPr>
        <w:b/>
        <w:bCs/>
      </w:rPr>
      <w:t xml:space="preserve">2</w:t>
    </w:r>
    <w:r>
      <w:rPr>
        <w:b/>
        <w:bCs/>
      </w:rPr>
      <w:fldChar w:fldCharType="end"/>
    </w:r>
    <w:r/>
  </w:p>
  <w:p w14:paraId="4B99056E" w14:textId="77777777">
    <w:pPr>
      <w:pStyle w:val="1135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70C8CD88" w14:textId="77777777">
      <w:pPr>
        <w:pBdr/>
        <w:spacing/>
        <w:ind/>
        <w:rPr/>
      </w:pPr>
      <w:r>
        <w:separator/>
      </w:r>
      <w:r/>
    </w:p>
  </w:footnote>
  <w:footnote w:type="continuationSeparator" w:id="0">
    <w:p w14:paraId="2670B540" w14:textId="77777777"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32" w:type="dxa"/>
      <w:tblW w:w="9370" w:type="dxa"/>
      <w:tblCellMar>
        <w:left w:w="18" w:type="dxa"/>
      </w:tblCellMar>
      <w:tblBorders>
        <w:top w:val="single" w:color="000001" w:sz="12" w:space="0"/>
        <w:left w:val="single" w:color="000001" w:sz="12" w:space="0"/>
        <w:bottom w:val="single" w:color="000001" w:sz="12" w:space="0"/>
        <w:insideH w:val="single" w:color="000001" w:sz="12" w:space="0"/>
      </w:tblBorders>
      <w:tblLook w:val="0000" w:firstRow="0" w:lastRow="0" w:firstColumn="0" w:lastColumn="0" w:noHBand="0" w:noVBand="0"/>
    </w:tblPr>
    <w:tblGrid>
      <w:gridCol w:w="1908"/>
      <w:gridCol w:w="7462"/>
    </w:tblGrid>
    <w:tr>
      <w:trPr>
        <w:trHeight w:val="1742"/>
      </w:trPr>
      <w:tc>
        <w:tcPr>
          <w:shd w:val="clear" w:color="auto" w:fill="auto"/>
          <w:tcBorders>
            <w:top w:val="single" w:color="000001" w:sz="12" w:space="0"/>
            <w:left w:val="single" w:color="000001" w:sz="12" w:space="0"/>
            <w:bottom w:val="single" w:color="000001" w:sz="12" w:space="0"/>
          </w:tcBorders>
          <w:tcW w:w="1908" w:type="dxa"/>
          <w:vAlign w:val="center"/>
          <w:textDirection w:val="lrTb"/>
          <w:noWrap w:val="false"/>
        </w:tcPr>
        <w:p w14:paraId="61CDCEAD" w14:textId="77777777">
          <w:pPr>
            <w:pBdr/>
            <w:spacing/>
            <w:ind/>
            <w:jc w:val="center"/>
            <w:rPr>
              <w:rFonts w:ascii="Arial" w:hAnsi="Arial" w:cs="Arial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960120" cy="960120"/>
                    <wp:effectExtent l="0" t="0" r="0" b="0"/>
                    <wp:docPr id="1" name="Figura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Figura1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960120" cy="96012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75.60pt;height:75.60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cs="Arial"/>
            </w:rPr>
          </w:r>
        </w:p>
      </w:tc>
      <w:tc>
        <w:tcPr>
          <w:shd w:val="clear" w:color="auto" w:fill="auto"/>
          <w:tcBorders>
            <w:top w:val="single" w:color="000001" w:sz="12" w:space="0"/>
            <w:left w:val="single" w:color="000001" w:sz="12" w:space="0"/>
            <w:bottom w:val="single" w:color="000001" w:sz="12" w:space="0"/>
            <w:right w:val="single" w:color="000001" w:sz="12" w:space="0"/>
          </w:tcBorders>
          <w:tcMar>
            <w:left w:w="48" w:type="dxa"/>
          </w:tcMar>
          <w:tcW w:w="7461" w:type="dxa"/>
          <w:vAlign w:val="center"/>
          <w:textDirection w:val="lrTb"/>
          <w:noWrap w:val="false"/>
        </w:tcPr>
        <w:p w14:paraId="385015A8" w14:textId="77777777">
          <w:pPr>
            <w:pBdr/>
            <w:spacing/>
            <w:ind/>
            <w:jc w:val="center"/>
            <w:rPr>
              <w:b/>
            </w:rPr>
          </w:pPr>
          <w:r>
            <w:rPr>
              <w:rFonts w:ascii="Arial Narrow" w:hAnsi="Arial Narrow" w:eastAsia="Arial Narrow" w:cs="Arial Narrow"/>
              <w:b/>
              <w:bCs/>
              <w:color w:val="0000ff"/>
              <w:sz w:val="22"/>
              <w:szCs w:val="22"/>
            </w:rPr>
            <w:t xml:space="preserve">        </w:t>
          </w:r>
          <w:r>
            <w:rPr>
              <w:b/>
              <w:bCs/>
              <w:color w:val="0000ff"/>
            </w:rPr>
            <w:t xml:space="preserve">Sociedade de Educação Nossa Senhora do Patrocínio</w:t>
          </w:r>
          <w:r>
            <w:rPr>
              <w:b/>
            </w:rPr>
          </w:r>
        </w:p>
        <w:p w14:paraId="5FD42103" w14:textId="77777777">
          <w:pPr>
            <w:pBdr/>
            <w:spacing/>
            <w:ind/>
            <w:jc w:val="center"/>
            <w:rPr>
              <w:rFonts w:ascii="Tahoma" w:hAnsi="Tahoma" w:cs="Tahoma"/>
              <w:sz w:val="28"/>
              <w:szCs w:val="28"/>
            </w:rPr>
          </w:pPr>
          <w:r>
            <w:rPr>
              <w:rFonts w:ascii="Tahoma" w:hAnsi="Tahoma" w:eastAsia="Tahoma" w:cs="Tahoma"/>
              <w:b/>
              <w:bCs/>
              <w:color w:val="0000ff"/>
              <w:sz w:val="28"/>
              <w:szCs w:val="28"/>
            </w:rPr>
            <w:t xml:space="preserve"> </w:t>
          </w:r>
          <w:r>
            <w:rPr>
              <w:rFonts w:ascii="Tahoma" w:hAnsi="Tahoma" w:cs="Tahoma"/>
              <w:b/>
              <w:bCs/>
              <w:color w:val="0000ff"/>
              <w:sz w:val="28"/>
              <w:szCs w:val="28"/>
            </w:rPr>
            <w:t xml:space="preserve">Centro Universitário Nossa Senhora do Patrocínio</w:t>
          </w:r>
          <w:r>
            <w:rPr>
              <w:rFonts w:ascii="Tahoma" w:hAnsi="Tahoma" w:cs="Tahoma"/>
              <w:sz w:val="28"/>
              <w:szCs w:val="28"/>
            </w:rPr>
          </w:r>
        </w:p>
        <w:p w14:paraId="7CDB6ADA" w14:textId="77777777"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color w:val="0000ff"/>
              <w:sz w:val="16"/>
              <w:szCs w:val="16"/>
            </w:rPr>
            <w:t xml:space="preserve">Decreto Presidencial de 1º Jul 98 - Publicado no D.O.U. de 02 Jul 98</w:t>
          </w:r>
          <w:r>
            <w:rPr>
              <w:rFonts w:ascii="Arial" w:hAnsi="Arial" w:cs="Arial"/>
              <w:b/>
              <w:sz w:val="16"/>
              <w:szCs w:val="16"/>
            </w:rPr>
          </w:r>
        </w:p>
        <w:p w14:paraId="6BCC8D68" w14:textId="77777777">
          <w:pPr>
            <w:pBdr/>
            <w:spacing/>
            <w:ind/>
            <w:jc w:val="center"/>
            <w:rPr>
              <w:rFonts w:ascii="Arial" w:hAnsi="Arial" w:cs="Arial"/>
              <w:b/>
              <w:color w:val="0000ff"/>
              <w:sz w:val="16"/>
              <w:szCs w:val="16"/>
            </w:rPr>
          </w:pPr>
          <w:r>
            <w:rPr>
              <w:rFonts w:ascii="Arial" w:hAnsi="Arial" w:cs="Arial"/>
              <w:b/>
              <w:color w:val="0000ff"/>
              <w:sz w:val="16"/>
              <w:szCs w:val="16"/>
            </w:rPr>
            <w:t xml:space="preserve">Rua Madre Maria Basília, 965 - Itu – SP - CEP 13300460</w:t>
          </w:r>
          <w:r>
            <w:rPr>
              <w:rFonts w:ascii="Arial" w:hAnsi="Arial" w:cs="Arial"/>
              <w:b/>
              <w:color w:val="0000ff"/>
              <w:sz w:val="16"/>
              <w:szCs w:val="16"/>
            </w:rPr>
          </w:r>
        </w:p>
        <w:p w14:paraId="6BB9E253" w14:textId="77777777">
          <w:pPr>
            <w:pBdr/>
            <w:spacing/>
            <w:ind/>
            <w:jc w:val="center"/>
            <w:rPr>
              <w:rFonts w:ascii="Arial" w:hAnsi="Arial" w:cs="Arial"/>
              <w:b/>
              <w:color w:val="0000ff"/>
              <w:sz w:val="4"/>
              <w:szCs w:val="4"/>
            </w:rPr>
          </w:pPr>
          <w:r>
            <w:rPr>
              <w:rFonts w:ascii="Arial" w:hAnsi="Arial" w:cs="Arial"/>
              <w:b/>
              <w:color w:val="0000ff"/>
              <w:sz w:val="4"/>
              <w:szCs w:val="4"/>
            </w:rPr>
          </w:r>
          <w:r>
            <w:rPr>
              <w:rFonts w:ascii="Arial" w:hAnsi="Arial" w:cs="Arial"/>
              <w:b/>
              <w:color w:val="0000ff"/>
              <w:sz w:val="4"/>
              <w:szCs w:val="4"/>
            </w:rPr>
          </w:r>
        </w:p>
      </w:tc>
    </w:tr>
  </w:tbl>
  <w:p w14:paraId="7411C064" w14:textId="77777777">
    <w:pPr>
      <w:pStyle w:val="1134"/>
      <w:pBdr/>
      <w:spacing/>
      <w:ind/>
      <w:jc w:val="right"/>
      <w:rPr/>
    </w:pPr>
    <w:r>
      <w:fldChar w:fldCharType="begin"/>
    </w:r>
    <w:r>
      <w:instrText xml:space="preserve">PAGE</w:instrText>
    </w:r>
    <w:r>
      <w:fldChar w:fldCharType="separate"/>
    </w:r>
    <w:r>
      <w:t xml:space="preserve">0</w:t>
    </w:r>
    <w:r>
      <w:fldChar w:fldCharType="end"/>
    </w:r>
    <w:r/>
  </w:p>
  <w:p w14:paraId="23DE523C" w14:textId="77777777">
    <w:pPr>
      <w:pStyle w:val="1134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76" w:type="dxa"/>
      <w:tblW w:w="9356" w:type="dxa"/>
      <w:tblCellMar>
        <w:left w:w="0" w:type="dxa"/>
        <w:right w:w="0" w:type="dxa"/>
      </w:tblCellMar>
      <w:tblBorders/>
      <w:tblLook w:val="0000" w:firstRow="0" w:lastRow="0" w:firstColumn="0" w:lastColumn="0" w:noHBand="0" w:noVBand="0"/>
    </w:tblPr>
    <w:tblGrid>
      <w:gridCol w:w="3341"/>
      <w:gridCol w:w="3187"/>
      <w:gridCol w:w="2828"/>
    </w:tblGrid>
    <w:tr>
      <w:trPr/>
      <w:tc>
        <w:tcPr>
          <w:shd w:val="clear" w:color="auto" w:fill="auto"/>
          <w:tcBorders/>
          <w:tcW w:w="3341" w:type="dxa"/>
          <w:textDirection w:val="lrTb"/>
          <w:noWrap w:val="false"/>
        </w:tcPr>
        <w:p w14:paraId="0D0B940D" w14:textId="77777777">
          <w:pPr>
            <w:pBdr/>
            <w:spacing/>
            <w:ind w:left="276"/>
            <w:rPr>
              <w:lang w:eastAsia="pt-BR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292860" cy="443865"/>
                    <wp:effectExtent l="0" t="0" r="0" b="0"/>
                    <wp:docPr id="2" name="Figura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Figura2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92860" cy="4438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" o:spid="_x0000_s1" type="#_x0000_t75" style="width:101.80pt;height:34.95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lang w:eastAsia="pt-BR"/>
            </w:rPr>
          </w:r>
        </w:p>
      </w:tc>
      <w:tc>
        <w:tcPr>
          <w:shd w:val="clear" w:color="auto" w:fill="auto"/>
          <w:tcBorders/>
          <w:tcW w:w="3187" w:type="dxa"/>
          <w:textDirection w:val="lrTb"/>
          <w:noWrap w:val="false"/>
        </w:tcPr>
        <w:p w14:paraId="0E27B00A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60061E4C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49099AA2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3A9E00B6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R. Madre Maria Basília, 965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33BE040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903 Itu SP </w:t>
          </w:r>
          <w:r/>
        </w:p>
        <w:p w14:paraId="48990EF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/>
        </w:p>
        <w:p w14:paraId="44EAFD9C" w14:textId="77777777">
          <w:pPr>
            <w:pBdr/>
            <w:spacing/>
            <w:ind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  <w:tc>
        <w:tcPr>
          <w:shd w:val="clear" w:color="auto" w:fill="auto"/>
          <w:tcBorders/>
          <w:tcW w:w="2828" w:type="dxa"/>
          <w:textDirection w:val="lrTb"/>
          <w:noWrap w:val="false"/>
        </w:tcPr>
        <w:p w14:paraId="4B94D5A5" w14:textId="77777777">
          <w:pPr>
            <w:pBdr/>
            <w:spacing/>
            <w:ind/>
            <w:jc w:val="right"/>
            <w:rPr>
              <w:rFonts w:ascii="Verdana Bold;Verdana" w:hAnsi="Verdana Bold;Verdana" w:cs="Verdana Bold;Verdana"/>
              <w:color w:val="1f497d"/>
              <w:sz w:val="16"/>
            </w:rPr>
          </w:pPr>
          <w:r>
            <w:rPr>
              <w:rFonts w:ascii="Verdana Bold;Verdana" w:hAnsi="Verdana Bold;Verdana" w:cs="Verdana Bold;Verdana"/>
              <w:color w:val="1f497d"/>
              <w:sz w:val="16"/>
            </w:rPr>
          </w:r>
          <w:r>
            <w:rPr>
              <w:rFonts w:ascii="Verdana Bold;Verdana" w:hAnsi="Verdana Bold;Verdana" w:cs="Verdana Bold;Verdana"/>
              <w:color w:val="1f497d"/>
              <w:sz w:val="16"/>
            </w:rPr>
          </w:r>
        </w:p>
        <w:p w14:paraId="626C85D6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8"/>
            </w:rPr>
            <w:t xml:space="preserve">www.ceunsp.edu.br</w:t>
          </w:r>
          <w:r/>
        </w:p>
        <w:p w14:paraId="3DEEC669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20212FBC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II 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BCF041C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Rua do Patrocínio, 716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4E9E7B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200 Itu SP </w:t>
          </w:r>
          <w:r/>
        </w:p>
        <w:p w14:paraId="6AD46FFF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656B9A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485136FA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Salto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404E1B34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Pç. Antônio Vieira Tavares, 153</w:t>
          </w:r>
          <w:r>
            <w:rPr>
              <w:rFonts w:ascii="Verdana" w:hAnsi="Verdana" w:cs="Verdana"/>
              <w:color w:val="1f497d"/>
              <w:sz w:val="16"/>
            </w:rPr>
            <w:br/>
            <w:t xml:space="preserve">13320 219 Salto SP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F42AB30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  <w:szCs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4028 8800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45FB0818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49F31C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312826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</w:tr>
  </w:tbl>
  <w:p w14:paraId="62486C05" w14:textId="77777777">
    <w:pPr>
      <w:pStyle w:val="1134"/>
      <w:pBdr/>
      <w:spacing/>
      <w:ind/>
      <w:rPr/>
    </w:pPr>
    <w:r/>
    <w:r/>
  </w:p>
  <w:p w14:paraId="4101652C" w14:textId="77777777">
    <w:pPr>
      <w:pStyle w:val="1134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76" w:type="dxa"/>
      <w:tblW w:w="9870" w:type="dxa"/>
      <w:tblCellMar>
        <w:left w:w="0" w:type="dxa"/>
        <w:right w:w="0" w:type="dxa"/>
      </w:tblCellMar>
      <w:tblBorders/>
      <w:tblLook w:val="0000" w:firstRow="0" w:lastRow="0" w:firstColumn="0" w:lastColumn="0" w:noHBand="0" w:noVBand="0"/>
    </w:tblPr>
    <w:tblGrid>
      <w:gridCol w:w="3340"/>
      <w:gridCol w:w="3512"/>
      <w:gridCol w:w="3018"/>
    </w:tblGrid>
    <w:tr>
      <w:trPr>
        <w:trHeight w:val="2550"/>
      </w:trPr>
      <w:tc>
        <w:tcPr>
          <w:shd w:val="clear" w:color="auto" w:fill="auto"/>
          <w:tcBorders/>
          <w:tcW w:w="3340" w:type="dxa"/>
          <w:textDirection w:val="lrTb"/>
          <w:noWrap w:val="false"/>
        </w:tcPr>
        <w:p w14:paraId="1299C43A" w14:textId="77777777">
          <w:pPr>
            <w:pBdr/>
            <w:spacing/>
            <w:ind w:left="276"/>
            <w:rPr>
              <w:lang w:eastAsia="pt-BR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292860" cy="443865"/>
                    <wp:effectExtent l="0" t="0" r="0" b="0"/>
                    <wp:docPr id="3" name="Pictur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Picture 26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rcRect l="-10" t="-31" r="-10" b="-31"/>
                            <a:stretch/>
                          </pic:blipFill>
                          <pic:spPr bwMode="auto">
                            <a:xfrm>
                              <a:off x="0" y="0"/>
                              <a:ext cx="1292860" cy="4438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2" o:spid="_x0000_s2" type="#_x0000_t75" style="width:101.80pt;height:34.95pt;mso-wrap-distance-left:0.00pt;mso-wrap-distance-top:0.00pt;mso-wrap-distance-right:0.00pt;mso-wrap-distance-bottom:0.00pt;z-index:1;" stroked="false">
                    <v:imagedata r:id="rId1" o:title="" croptop="-19f" cropleft="-6f" cropbottom="-19f" cropright="-6f"/>
                    <o:lock v:ext="edit" rotation="t"/>
                  </v:shape>
                </w:pict>
              </mc:Fallback>
            </mc:AlternateContent>
          </w:r>
          <w:r>
            <w:rPr>
              <w:lang w:eastAsia="pt-BR"/>
            </w:rPr>
          </w:r>
        </w:p>
      </w:tc>
      <w:tc>
        <w:tcPr>
          <w:shd w:val="clear" w:color="auto" w:fill="auto"/>
          <w:tcBorders/>
          <w:tcW w:w="3512" w:type="dxa"/>
          <w:textDirection w:val="lrTb"/>
          <w:noWrap w:val="false"/>
        </w:tcPr>
        <w:p w14:paraId="4DDBEF00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3461D779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443A90EB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286994C4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R. Madre Maria Basília, 965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06A1BB6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903 Itu SP </w:t>
          </w:r>
          <w:r/>
        </w:p>
        <w:p w14:paraId="648D89AC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/>
        </w:p>
        <w:p w14:paraId="3CF2D8B6" w14:textId="77777777">
          <w:pPr>
            <w:pBdr/>
            <w:spacing/>
            <w:ind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  <w:tc>
        <w:tcPr>
          <w:shd w:val="clear" w:color="auto" w:fill="auto"/>
          <w:tcBorders/>
          <w:tcW w:w="3018" w:type="dxa"/>
          <w:textDirection w:val="lrTb"/>
          <w:noWrap w:val="false"/>
        </w:tcPr>
        <w:p w14:paraId="0FB78278" w14:textId="77777777">
          <w:pPr>
            <w:pBdr/>
            <w:spacing/>
            <w:ind/>
            <w:jc w:val="right"/>
            <w:rPr>
              <w:rFonts w:ascii="Verdana Bold;Verdana" w:hAnsi="Verdana Bold;Verdana" w:cs="Verdana Bold;Verdana"/>
              <w:color w:val="1f497d"/>
              <w:sz w:val="16"/>
            </w:rPr>
          </w:pPr>
          <w:r>
            <w:rPr>
              <w:rFonts w:ascii="Verdana Bold;Verdana" w:hAnsi="Verdana Bold;Verdana" w:cs="Verdana Bold;Verdana"/>
              <w:color w:val="1f497d"/>
              <w:sz w:val="16"/>
            </w:rPr>
          </w:r>
          <w:r>
            <w:rPr>
              <w:rFonts w:ascii="Verdana Bold;Verdana" w:hAnsi="Verdana Bold;Verdana" w:cs="Verdana Bold;Verdana"/>
              <w:color w:val="1f497d"/>
              <w:sz w:val="16"/>
            </w:rPr>
          </w:r>
        </w:p>
        <w:p w14:paraId="70447822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8"/>
            </w:rPr>
            <w:t xml:space="preserve">www.ceunsp.edu.br</w:t>
          </w:r>
          <w:r/>
        </w:p>
        <w:p w14:paraId="1FC39945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01F20AF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II 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DD76867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Rua do Patrocínio, 716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22AF75A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200 Itu SP </w:t>
          </w:r>
          <w:r/>
        </w:p>
        <w:p w14:paraId="42DBDF9E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562CB0E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B8FEDEB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Salto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5DAF203A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Pç. Antônio Vieira Tavares, 153</w:t>
          </w:r>
          <w:r>
            <w:rPr>
              <w:rFonts w:ascii="Verdana" w:hAnsi="Verdana" w:cs="Verdana"/>
              <w:color w:val="1f497d"/>
              <w:sz w:val="16"/>
            </w:rPr>
            <w:br/>
            <w:t xml:space="preserve">13320 219 Salto SP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D8383CF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  <w:szCs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4028 8800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4CE0A4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62EBF3C5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6D98A12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</w:tr>
  </w:tbl>
  <w:p w14:paraId="2946DB82" w14:textId="77777777">
    <w:pPr>
      <w:pStyle w:val="1134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EF15F9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1">
    <w:nsid w:val="5ECA4AF8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2">
    <w:nsid w:val="30A28D67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3">
    <w:nsid w:val="76B2395D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4">
    <w:nsid w:val="477EE2D1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5">
    <w:nsid w:val="2098BE80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6">
    <w:nsid w:val="56C26A5D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7">
    <w:nsid w:val="775C82DE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SimSun" w:cs="Lucida Sans"/>
        <w:szCs w:val="24"/>
        <w:lang w:val="pt-BR" w:eastAsia="zh-CN" w:bidi="hi-I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1108"/>
    <w:next w:val="1108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1108"/>
    <w:next w:val="110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1108"/>
    <w:next w:val="1108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1108"/>
    <w:next w:val="110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1108"/>
    <w:next w:val="1108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1108"/>
    <w:next w:val="110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1108"/>
    <w:next w:val="1108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1108"/>
    <w:next w:val="1108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1108"/>
    <w:next w:val="1108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1109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109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109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109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109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109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109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109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109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1109"/>
    <w:link w:val="112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1108"/>
    <w:next w:val="1108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109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1108"/>
    <w:next w:val="1108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109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1108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110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1108"/>
    <w:next w:val="1108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109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10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1108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110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109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109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10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10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1109"/>
    <w:link w:val="1134"/>
    <w:uiPriority w:val="99"/>
    <w:pPr>
      <w:pBdr/>
      <w:spacing/>
      <w:ind/>
    </w:pPr>
  </w:style>
  <w:style w:type="character" w:styleId="179">
    <w:name w:val="Footer Char"/>
    <w:basedOn w:val="1109"/>
    <w:link w:val="1135"/>
    <w:uiPriority w:val="99"/>
    <w:pPr>
      <w:pBdr/>
      <w:spacing/>
      <w:ind/>
    </w:pPr>
  </w:style>
  <w:style w:type="character" w:styleId="182">
    <w:name w:val="Footnote Text Char"/>
    <w:basedOn w:val="1109"/>
    <w:link w:val="1136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109"/>
    <w:uiPriority w:val="99"/>
    <w:semiHidden/>
    <w:unhideWhenUsed/>
    <w:pPr>
      <w:pBdr/>
      <w:spacing/>
      <w:ind/>
    </w:pPr>
    <w:rPr>
      <w:vertAlign w:val="superscript"/>
    </w:rPr>
  </w:style>
  <w:style w:type="character" w:styleId="185">
    <w:name w:val="Endnote Text Char"/>
    <w:basedOn w:val="1109"/>
    <w:link w:val="1137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109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10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10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1108"/>
    <w:next w:val="1108"/>
    <w:uiPriority w:val="39"/>
    <w:unhideWhenUsed/>
    <w:pPr>
      <w:pBdr/>
      <w:spacing w:after="100"/>
      <w:ind/>
    </w:pPr>
  </w:style>
  <w:style w:type="paragraph" w:styleId="190">
    <w:name w:val="toc 2"/>
    <w:basedOn w:val="1108"/>
    <w:next w:val="1108"/>
    <w:uiPriority w:val="39"/>
    <w:unhideWhenUsed/>
    <w:pPr>
      <w:pBdr/>
      <w:spacing w:after="100"/>
      <w:ind w:left="220"/>
    </w:pPr>
  </w:style>
  <w:style w:type="paragraph" w:styleId="191">
    <w:name w:val="toc 3"/>
    <w:basedOn w:val="1108"/>
    <w:next w:val="1108"/>
    <w:uiPriority w:val="39"/>
    <w:unhideWhenUsed/>
    <w:pPr>
      <w:pBdr/>
      <w:spacing w:after="100"/>
      <w:ind w:left="440"/>
    </w:pPr>
  </w:style>
  <w:style w:type="paragraph" w:styleId="192">
    <w:name w:val="toc 4"/>
    <w:basedOn w:val="1108"/>
    <w:next w:val="1108"/>
    <w:uiPriority w:val="39"/>
    <w:unhideWhenUsed/>
    <w:pPr>
      <w:pBdr/>
      <w:spacing w:after="100"/>
      <w:ind w:left="660"/>
    </w:pPr>
  </w:style>
  <w:style w:type="paragraph" w:styleId="193">
    <w:name w:val="toc 5"/>
    <w:basedOn w:val="1108"/>
    <w:next w:val="1108"/>
    <w:uiPriority w:val="39"/>
    <w:unhideWhenUsed/>
    <w:pPr>
      <w:pBdr/>
      <w:spacing w:after="100"/>
      <w:ind w:left="880"/>
    </w:pPr>
  </w:style>
  <w:style w:type="paragraph" w:styleId="194">
    <w:name w:val="toc 6"/>
    <w:basedOn w:val="1108"/>
    <w:next w:val="1108"/>
    <w:uiPriority w:val="39"/>
    <w:unhideWhenUsed/>
    <w:pPr>
      <w:pBdr/>
      <w:spacing w:after="100"/>
      <w:ind w:left="1100"/>
    </w:pPr>
  </w:style>
  <w:style w:type="paragraph" w:styleId="195">
    <w:name w:val="toc 7"/>
    <w:basedOn w:val="1108"/>
    <w:next w:val="1108"/>
    <w:uiPriority w:val="39"/>
    <w:unhideWhenUsed/>
    <w:pPr>
      <w:pBdr/>
      <w:spacing w:after="100"/>
      <w:ind w:left="1320"/>
    </w:pPr>
  </w:style>
  <w:style w:type="paragraph" w:styleId="196">
    <w:name w:val="toc 8"/>
    <w:basedOn w:val="1108"/>
    <w:next w:val="1108"/>
    <w:uiPriority w:val="39"/>
    <w:unhideWhenUsed/>
    <w:pPr>
      <w:pBdr/>
      <w:spacing w:after="100"/>
      <w:ind w:left="1540"/>
    </w:pPr>
  </w:style>
  <w:style w:type="paragraph" w:styleId="197">
    <w:name w:val="toc 9"/>
    <w:basedOn w:val="1108"/>
    <w:next w:val="110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109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1108"/>
    <w:next w:val="1108"/>
    <w:uiPriority w:val="99"/>
    <w:unhideWhenUsed/>
    <w:pPr>
      <w:pBdr/>
      <w:spacing w:after="0" w:afterAutospacing="0"/>
      <w:ind/>
    </w:pPr>
  </w:style>
  <w:style w:type="paragraph" w:styleId="1108" w:default="1">
    <w:name w:val="Normal"/>
    <w:qFormat/>
    <w:pPr>
      <w:pBdr/>
      <w:spacing/>
      <w:ind/>
    </w:pPr>
    <w:rPr>
      <w:rFonts w:ascii="Times New Roman" w:hAnsi="Times New Roman" w:eastAsia="Times New Roman" w:cs="Times New Roman"/>
      <w:color w:val="00000a"/>
      <w:sz w:val="24"/>
      <w:lang w:bidi="ar-SA"/>
    </w:rPr>
  </w:style>
  <w:style w:type="character" w:styleId="1109" w:default="1">
    <w:name w:val="Default Paragraph Font"/>
    <w:uiPriority w:val="1"/>
    <w:semiHidden/>
    <w:unhideWhenUsed/>
    <w:pPr>
      <w:pBdr/>
      <w:spacing/>
      <w:ind/>
    </w:pPr>
  </w:style>
  <w:style w:type="table" w:styleId="111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111" w:default="1">
    <w:name w:val="No List"/>
    <w:uiPriority w:val="99"/>
    <w:semiHidden/>
    <w:unhideWhenUsed/>
    <w:pPr>
      <w:pBdr/>
      <w:spacing/>
      <w:ind/>
    </w:pPr>
  </w:style>
  <w:style w:type="character" w:styleId="1112" w:customStyle="1">
    <w:name w:val="WW8Num1z0"/>
    <w:qFormat/>
    <w:pPr>
      <w:pBdr/>
      <w:spacing/>
      <w:ind/>
    </w:pPr>
    <w:rPr>
      <w:rFonts w:ascii="Symbol" w:hAnsi="Symbol" w:cs="Symbol"/>
    </w:rPr>
  </w:style>
  <w:style w:type="character" w:styleId="1113" w:customStyle="1">
    <w:name w:val="WW8Num1z2"/>
    <w:qFormat/>
    <w:pPr>
      <w:pBdr/>
      <w:spacing/>
      <w:ind/>
    </w:pPr>
    <w:rPr>
      <w:rFonts w:ascii="Courier New" w:hAnsi="Courier New" w:cs="Courier New"/>
    </w:rPr>
  </w:style>
  <w:style w:type="character" w:styleId="1114" w:customStyle="1">
    <w:name w:val="WW8Num1z3"/>
    <w:qFormat/>
    <w:pPr>
      <w:pBdr/>
      <w:spacing/>
      <w:ind/>
    </w:pPr>
    <w:rPr>
      <w:rFonts w:ascii="Wingdings" w:hAnsi="Wingdings" w:cs="Wingdings"/>
    </w:rPr>
  </w:style>
  <w:style w:type="character" w:styleId="1115" w:customStyle="1">
    <w:name w:val="WW8Num2z0"/>
    <w:qFormat/>
    <w:pPr>
      <w:pBdr/>
      <w:spacing/>
      <w:ind/>
    </w:pPr>
    <w:rPr>
      <w:rFonts w:ascii="Symbol" w:hAnsi="Symbol" w:cs="Symbol"/>
    </w:rPr>
  </w:style>
  <w:style w:type="character" w:styleId="1116" w:customStyle="1">
    <w:name w:val="WW8Num2z1"/>
    <w:qFormat/>
    <w:pPr>
      <w:pBdr/>
      <w:spacing/>
      <w:ind/>
    </w:pPr>
    <w:rPr>
      <w:rFonts w:ascii="Courier New" w:hAnsi="Courier New" w:cs="Arial"/>
    </w:rPr>
  </w:style>
  <w:style w:type="character" w:styleId="1117" w:customStyle="1">
    <w:name w:val="WW8Num2z2"/>
    <w:qFormat/>
    <w:pPr>
      <w:pBdr/>
      <w:spacing/>
      <w:ind/>
    </w:pPr>
    <w:rPr>
      <w:rFonts w:ascii="Wingdings" w:hAnsi="Wingdings" w:cs="Wingdings"/>
    </w:rPr>
  </w:style>
  <w:style w:type="character" w:styleId="1118" w:customStyle="1">
    <w:name w:val="Cabeçalho Char"/>
    <w:qFormat/>
    <w:pPr>
      <w:pBdr/>
      <w:spacing/>
      <w:ind/>
    </w:pPr>
    <w:rPr>
      <w:sz w:val="24"/>
      <w:szCs w:val="24"/>
    </w:rPr>
  </w:style>
  <w:style w:type="character" w:styleId="1119" w:customStyle="1">
    <w:name w:val="Rodapé Char"/>
    <w:uiPriority w:val="99"/>
    <w:qFormat/>
    <w:pPr>
      <w:pBdr/>
      <w:spacing/>
      <w:ind/>
    </w:pPr>
    <w:rPr>
      <w:sz w:val="24"/>
      <w:szCs w:val="24"/>
    </w:rPr>
  </w:style>
  <w:style w:type="character" w:styleId="1120" w:customStyle="1">
    <w:name w:val="Texto de nota de rodapé Char"/>
    <w:qFormat/>
    <w:pPr>
      <w:pBdr/>
      <w:spacing/>
      <w:ind/>
    </w:pPr>
    <w:rPr>
      <w:sz w:val="24"/>
      <w:szCs w:val="24"/>
    </w:rPr>
  </w:style>
  <w:style w:type="character" w:styleId="1121" w:customStyle="1">
    <w:name w:val="Caracteres de nota de rodapé"/>
    <w:qFormat/>
    <w:pPr>
      <w:pBdr/>
      <w:spacing/>
      <w:ind/>
    </w:pPr>
    <w:rPr>
      <w:vertAlign w:val="superscript"/>
    </w:rPr>
  </w:style>
  <w:style w:type="character" w:styleId="1122" w:customStyle="1">
    <w:name w:val="Texto de nota de fim Char"/>
    <w:qFormat/>
    <w:pPr>
      <w:pBdr/>
      <w:spacing/>
      <w:ind/>
    </w:pPr>
    <w:rPr>
      <w:sz w:val="24"/>
      <w:szCs w:val="24"/>
    </w:rPr>
  </w:style>
  <w:style w:type="character" w:styleId="1123" w:customStyle="1">
    <w:name w:val="Caracteres de nota de fim"/>
    <w:qFormat/>
    <w:pPr>
      <w:pBdr/>
      <w:spacing/>
      <w:ind/>
    </w:pPr>
    <w:rPr>
      <w:vertAlign w:val="superscript"/>
    </w:rPr>
  </w:style>
  <w:style w:type="character" w:styleId="1124">
    <w:name w:val="annotation reference"/>
    <w:qFormat/>
    <w:pPr>
      <w:pBdr/>
      <w:spacing/>
      <w:ind/>
    </w:pPr>
    <w:rPr>
      <w:sz w:val="18"/>
      <w:szCs w:val="18"/>
    </w:rPr>
  </w:style>
  <w:style w:type="character" w:styleId="1125" w:customStyle="1">
    <w:name w:val="Texto de comentário Char"/>
    <w:qFormat/>
    <w:pPr>
      <w:pBdr/>
      <w:spacing/>
      <w:ind/>
    </w:pPr>
    <w:rPr>
      <w:sz w:val="24"/>
      <w:szCs w:val="24"/>
    </w:rPr>
  </w:style>
  <w:style w:type="character" w:styleId="1126" w:customStyle="1">
    <w:name w:val="Assunto do comentário Char"/>
    <w:qFormat/>
    <w:pPr>
      <w:pBdr/>
      <w:spacing/>
      <w:ind/>
    </w:pPr>
    <w:rPr>
      <w:b/>
      <w:bCs/>
      <w:sz w:val="24"/>
      <w:szCs w:val="24"/>
    </w:rPr>
  </w:style>
  <w:style w:type="character" w:styleId="1127" w:customStyle="1">
    <w:name w:val="Texto de balão Char"/>
    <w:qFormat/>
    <w:pPr>
      <w:pBdr/>
      <w:spacing/>
      <w:ind/>
    </w:pPr>
    <w:rPr>
      <w:rFonts w:ascii="Lucida Grande;Arial" w:hAnsi="Lucida Grande;Arial" w:cs="Lucida Grande;Arial"/>
      <w:sz w:val="18"/>
      <w:szCs w:val="18"/>
    </w:rPr>
  </w:style>
  <w:style w:type="character" w:styleId="1128" w:customStyle="1">
    <w:name w:val="Corpo de texto 2 Char"/>
    <w:basedOn w:val="1109"/>
    <w:qFormat/>
    <w:pPr>
      <w:pBdr/>
      <w:spacing/>
      <w:ind/>
    </w:pPr>
  </w:style>
  <w:style w:type="paragraph" w:styleId="1129">
    <w:name w:val="Title"/>
    <w:basedOn w:val="1108"/>
    <w:next w:val="1130"/>
    <w:qFormat/>
    <w:pPr>
      <w:keepNext w:val="true"/>
      <w:pBdr/>
      <w:spacing w:after="120" w:before="240"/>
      <w:ind/>
    </w:pPr>
    <w:rPr>
      <w:rFonts w:ascii="Liberation Sans" w:hAnsi="Liberation Sans" w:eastAsia="Microsoft YaHei" w:cs="Lucida Sans"/>
      <w:sz w:val="28"/>
      <w:szCs w:val="28"/>
    </w:rPr>
  </w:style>
  <w:style w:type="paragraph" w:styleId="1130">
    <w:name w:val="Body Text"/>
    <w:basedOn w:val="1108"/>
    <w:pPr>
      <w:pBdr/>
      <w:spacing w:after="140" w:line="288" w:lineRule="auto"/>
      <w:ind/>
    </w:pPr>
  </w:style>
  <w:style w:type="paragraph" w:styleId="1131">
    <w:name w:val="List"/>
    <w:basedOn w:val="1130"/>
    <w:pPr>
      <w:pBdr/>
      <w:spacing/>
      <w:ind/>
    </w:pPr>
    <w:rPr>
      <w:rFonts w:cs="Lucida Sans"/>
    </w:rPr>
  </w:style>
  <w:style w:type="paragraph" w:styleId="1132">
    <w:name w:val="Caption"/>
    <w:basedOn w:val="1108"/>
    <w:qFormat/>
    <w:pPr>
      <w:suppressLineNumbers w:val="true"/>
      <w:pBdr/>
      <w:spacing w:after="120" w:before="120"/>
      <w:ind/>
    </w:pPr>
    <w:rPr>
      <w:rFonts w:cs="Lucida Sans"/>
      <w:i/>
      <w:iCs/>
    </w:rPr>
  </w:style>
  <w:style w:type="paragraph" w:styleId="1133" w:customStyle="1">
    <w:name w:val="Índice"/>
    <w:basedOn w:val="1108"/>
    <w:qFormat/>
    <w:pPr>
      <w:suppressLineNumbers w:val="true"/>
      <w:pBdr/>
      <w:spacing/>
      <w:ind/>
    </w:pPr>
    <w:rPr>
      <w:rFonts w:cs="Lucida Sans"/>
    </w:rPr>
  </w:style>
  <w:style w:type="paragraph" w:styleId="1134">
    <w:name w:val="Header"/>
    <w:basedOn w:val="1108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135">
    <w:name w:val="Footer"/>
    <w:basedOn w:val="1108"/>
    <w:uiPriority w:val="99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136">
    <w:name w:val="footnote text"/>
    <w:basedOn w:val="1108"/>
    <w:qFormat/>
    <w:pPr>
      <w:pBdr/>
      <w:spacing/>
      <w:ind/>
    </w:pPr>
  </w:style>
  <w:style w:type="paragraph" w:styleId="1137">
    <w:name w:val="endnote text"/>
    <w:basedOn w:val="1108"/>
    <w:qFormat/>
    <w:pPr>
      <w:pBdr/>
      <w:spacing/>
      <w:ind/>
    </w:pPr>
  </w:style>
  <w:style w:type="paragraph" w:styleId="1138">
    <w:name w:val="annotation text"/>
    <w:basedOn w:val="1108"/>
    <w:qFormat/>
    <w:pPr>
      <w:pBdr/>
      <w:spacing/>
      <w:ind/>
    </w:pPr>
  </w:style>
  <w:style w:type="paragraph" w:styleId="1139">
    <w:name w:val="annotation subject"/>
    <w:basedOn w:val="1138"/>
    <w:qFormat/>
    <w:pPr>
      <w:pBdr/>
      <w:spacing/>
      <w:ind/>
    </w:pPr>
    <w:rPr>
      <w:b/>
      <w:bCs/>
      <w:sz w:val="20"/>
      <w:szCs w:val="20"/>
    </w:rPr>
  </w:style>
  <w:style w:type="paragraph" w:styleId="1140">
    <w:name w:val="Balloon Text"/>
    <w:basedOn w:val="1108"/>
    <w:qFormat/>
    <w:pPr>
      <w:pBdr/>
      <w:spacing/>
      <w:ind/>
    </w:pPr>
    <w:rPr>
      <w:rFonts w:ascii="Lucida Grande;Arial" w:hAnsi="Lucida Grande;Arial" w:cs="Lucida Grande;Arial"/>
      <w:sz w:val="18"/>
      <w:szCs w:val="18"/>
    </w:rPr>
  </w:style>
  <w:style w:type="paragraph" w:styleId="1141" w:customStyle="1">
    <w:name w:val="Lista Colorida - Ênfase 11"/>
    <w:basedOn w:val="1108"/>
    <w:qFormat/>
    <w:pPr>
      <w:pBdr/>
      <w:spacing w:after="200" w:line="276" w:lineRule="auto"/>
      <w:ind w:left="720"/>
      <w:contextualSpacing w:val="true"/>
      <w:jc w:val="both"/>
    </w:pPr>
    <w:rPr>
      <w:rFonts w:ascii="Calibri" w:hAnsi="Calibri" w:eastAsia="Calibri" w:cs="Calibri"/>
      <w:sz w:val="22"/>
      <w:szCs w:val="22"/>
    </w:rPr>
  </w:style>
  <w:style w:type="paragraph" w:styleId="1142">
    <w:name w:val="Body Text 2"/>
    <w:basedOn w:val="1108"/>
    <w:qFormat/>
    <w:pPr>
      <w:pBdr/>
      <w:spacing w:after="120" w:line="480" w:lineRule="auto"/>
      <w:ind/>
    </w:pPr>
    <w:rPr>
      <w:sz w:val="20"/>
      <w:szCs w:val="20"/>
    </w:rPr>
  </w:style>
  <w:style w:type="paragraph" w:styleId="1143" w:customStyle="1">
    <w:name w:val="Conteúdo da tabela"/>
    <w:basedOn w:val="1108"/>
    <w:qFormat/>
    <w:pPr>
      <w:suppressLineNumbers w:val="true"/>
      <w:pBdr/>
      <w:spacing/>
      <w:ind/>
    </w:pPr>
  </w:style>
  <w:style w:type="paragraph" w:styleId="1144" w:customStyle="1">
    <w:name w:val="Título de tabela"/>
    <w:basedOn w:val="1143"/>
    <w:qFormat/>
    <w:pPr>
      <w:pBdr/>
      <w:spacing/>
      <w:ind/>
      <w:jc w:val="center"/>
    </w:pPr>
    <w:rPr>
      <w:b/>
      <w:bCs/>
    </w:rPr>
  </w:style>
  <w:style w:type="numbering" w:styleId="1145" w:customStyle="1">
    <w:name w:val="WW8Num1"/>
    <w:qFormat/>
    <w:pPr>
      <w:pBdr/>
      <w:spacing/>
      <w:ind/>
    </w:pPr>
  </w:style>
  <w:style w:type="numbering" w:styleId="1146" w:customStyle="1">
    <w:name w:val="WW8Num2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Nº 001/09 DE REUNIÃO ORDINÁRIA DO NÚCLEO DOCENTE ESTRUTURANTE DO CURSO DE RÁDIO E TELEVISÃO, DA FACULDADE DE COMUNICAÇÃO E ARTES – FCA, DO CENTRO UNIVERSITÁRIO NOSSA SENHORA DO PATROCÍNIO - CEUNSP, REALIZADA NO DIA 19 DE JANEIRO DE 2009</dc:title>
  <dc:subject/>
  <dc:creator>FrancieleF</dc:creator>
  <dc:description/>
  <dc:language>pt-BR</dc:language>
  <cp:revision>5</cp:revision>
  <dcterms:created xsi:type="dcterms:W3CDTF">2025-07-04T14:28:00Z</dcterms:created>
  <dcterms:modified xsi:type="dcterms:W3CDTF">2026-05-12T12:22:58Z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