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6AC3D450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color w:val="000000"/>
          <w:sz w:val="21"/>
        </w:rPr>
        <w:t xml:space="preserve">CURSO SUPERIOR DE TECNOLOGIA EM PROCESSOS GERENCIAIS – CEUNSP</w:t>
      </w:r>
      <w:r>
        <w:rPr>
          <w:rFonts w:ascii="Times New Roman" w:hAnsi="Times New Roman" w:eastAsia="Times New Roman" w:cs="Times New Roman"/>
        </w:rPr>
      </w:r>
    </w:p>
    <w:p w14:paraId="3303686B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color w:val="000000"/>
          <w:sz w:val="21"/>
        </w:rPr>
        <w:t xml:space="preserve">ATA Nº 01/25 DE REUNIÃO DO COLEGIADO DO CURSO SUPERIOR DE TECNOLOGIA EM PROCESSOS GERENCIAIS DO CENTRO UNIVERSITÁRIO NOSSA SENHORA DO PATROCÍNIO – CEUNSP, REALIZADA EM 05 DE FEVEREIRO DE 2025.</w:t>
      </w:r>
      <w:r>
        <w:rPr>
          <w:rFonts w:ascii="Times New Roman" w:hAnsi="Times New Roman" w:eastAsia="Times New Roman" w:cs="Times New Roman"/>
        </w:rPr>
      </w:r>
    </w:p>
    <w:p w14:paraId="1261E236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color w:val="000000"/>
          <w:sz w:val="21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1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1"/>
          <w:highlight w:val="none"/>
        </w:rPr>
      </w:r>
    </w:p>
    <w:p w14:paraId="4806E723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eastAsia="Times New Roman" w:cs="Times New Roman"/>
          <w:color w:val="000000"/>
          <w:sz w:val="21"/>
          <w:szCs w:val="21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 xml:space="preserve">Aos cinco dias do mês de fevereiro do ano de dois mil e vinte e cinco, 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 xml:space="preserve">quarta-feira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, na sala da coordenação do curso, localizada no Campus II do Centro Universitário Nossa Senhora do Patrocínio – CEUNSP, realizou-se reunião do Colegiado do Curso Superior de Tecnologia em Processos Gerenciais, presidida pelo Coordenador do Curso, 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 xml:space="preserve">Prof. Alex Sandro Benetti Dias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, contando com a participação dos docentes: 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 xml:space="preserve">Prof. Gilmar Cardozo de Jesus; Profa. Gisele Massarani Alexandre de Carvalho; Prof. Sandro Luiz de Carvalho Neves; Profa. Juliana Aline Fungaro Ribeiro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, e dos representantes discentes: 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 xml:space="preserve">Hillary Lorena Dias da Mota; Ana Flávia dos Passos Nascimento; Rodney Adriano Risso; Pamela Aparecida Mendes Paredes; Douglas Rodrigo Vasconcellos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.</w:t>
      </w:r>
      <w:r>
        <w:rPr>
          <w:rFonts w:ascii="Times New Roman" w:hAnsi="Times New Roman" w:eastAsia="Times New Roman" w:cs="Times New Roman"/>
        </w:rPr>
      </w:r>
    </w:p>
    <w:p w14:paraId="7F1CD008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 xml:space="preserve">O coordenador iniciou a reunião agradecendo a presença de todos e apresentou a pauta:</w:t>
      </w:r>
      <w:r>
        <w:rPr>
          <w:rFonts w:ascii="Times New Roman" w:hAnsi="Times New Roman" w:eastAsia="Times New Roman" w:cs="Times New Roman"/>
        </w:rPr>
      </w:r>
    </w:p>
    <w:p w14:paraId="50A545CF">
      <w:pPr>
        <w:pStyle w:val="165"/>
        <w:numPr>
          <w:ilvl w:val="0"/>
          <w:numId w:val="5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color w:val="000000"/>
          <w:sz w:val="21"/>
        </w:rPr>
        <w:t xml:space="preserve">Início do semestre letivo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: o coordenador parabenizou o corpo docente pelo trabalho desenvolvido no semestre anterior e reforçou a importância da continuidade do empenho pedagógico, da comunicação efetiva e do acolhimento aos estudantes no início do período letivo.</w:t>
      </w:r>
      <w:r>
        <w:rPr>
          <w:rFonts w:ascii="Times New Roman" w:hAnsi="Times New Roman" w:eastAsia="Times New Roman" w:cs="Times New Roman"/>
        </w:rPr>
      </w:r>
    </w:p>
    <w:p w14:paraId="448B09A6">
      <w:pPr>
        <w:pStyle w:val="165"/>
        <w:numPr>
          <w:ilvl w:val="0"/>
          <w:numId w:val="5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color w:val="000000"/>
          <w:sz w:val="21"/>
        </w:rPr>
        <w:t xml:space="preserve">Ambiente de sala de aula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: foi destacada a necessidade de manutenção de um ambiente organizado e propício à aprendizagem, solicitando colaboração dos alunos quanto ao comportamento em sala e incentivando os docentes à utilização de estratégias pedagógicas que favoreçam o engajamen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to discente.</w:t>
      </w:r>
      <w:r>
        <w:rPr>
          <w:rFonts w:ascii="Times New Roman" w:hAnsi="Times New Roman" w:eastAsia="Times New Roman" w:cs="Times New Roman"/>
        </w:rPr>
      </w:r>
    </w:p>
    <w:p w14:paraId="11CA6924">
      <w:pPr>
        <w:pStyle w:val="165"/>
        <w:numPr>
          <w:ilvl w:val="0"/>
          <w:numId w:val="5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color w:val="000000"/>
          <w:sz w:val="21"/>
        </w:rPr>
        <w:t xml:space="preserve">Gestão de trabalhos e projetos acadêmicos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: discutiu-se a importância da boa organização dos trabalhos em grupo, da comunicação clara entre alunos e professores e do cumprimento de prazos estabelecidos.</w:t>
      </w:r>
      <w:r>
        <w:rPr>
          <w:rFonts w:ascii="Times New Roman" w:hAnsi="Times New Roman" w:eastAsia="Times New Roman" w:cs="Times New Roman"/>
        </w:rPr>
      </w:r>
    </w:p>
    <w:p w14:paraId="7B55285C">
      <w:pPr>
        <w:pStyle w:val="165"/>
        <w:numPr>
          <w:ilvl w:val="0"/>
          <w:numId w:val="5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color w:val="000000"/>
          <w:sz w:val="21"/>
        </w:rPr>
        <w:t xml:space="preserve">Infraestrutura e recursos institucionais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: foram abordadas questões relacionadas aos laboratórios de informática, banheiros e cantina, com registro das sugestões apresentadas pelos participantes.</w:t>
      </w:r>
      <w:r>
        <w:rPr>
          <w:rFonts w:ascii="Times New Roman" w:hAnsi="Times New Roman" w:eastAsia="Times New Roman" w:cs="Times New Roman"/>
        </w:rPr>
      </w:r>
    </w:p>
    <w:p w14:paraId="3D813AAE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 xml:space="preserve">Sem mais assuntos a tratar, a reunião foi encerrada, sendo lavrada a presente ata.</w:t>
      </w:r>
      <w:r>
        <w:rPr>
          <w:rFonts w:ascii="Times New Roman" w:hAnsi="Times New Roman" w:eastAsia="Times New Roman" w:cs="Times New Roman"/>
        </w:rPr>
      </w:r>
    </w:p>
    <w:p w14:paraId="5B425FFB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b/>
          <w:color w:val="000000"/>
          <w:sz w:val="21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1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1"/>
          <w:highlight w:val="none"/>
        </w:rPr>
      </w:r>
    </w:p>
    <w:p w14:paraId="22B186FE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600" w:lineRule="auto"/>
        <w:ind w:right="0" w:firstLine="0" w:left="0"/>
        <w:jc w:val="both"/>
        <w:rPr>
          <w:rFonts w:ascii="Times New Roman" w:hAnsi="Times New Roman" w:eastAsia="Times New Roman" w:cs="Times New Roman"/>
          <w:b/>
          <w:bCs/>
          <w:color w:val="000000"/>
          <w:sz w:val="21"/>
          <w:szCs w:val="21"/>
          <w:highlight w:val="none"/>
        </w:rPr>
      </w:pPr>
      <w:r>
        <w:rPr>
          <w:rFonts w:ascii="Times New Roman" w:hAnsi="Times New Roman" w:eastAsia="Times New Roman" w:cs="Times New Roman"/>
          <w:b/>
          <w:color w:val="000000"/>
          <w:sz w:val="21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1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1"/>
          <w:highlight w:val="none"/>
        </w:rPr>
      </w:r>
    </w:p>
    <w:p w14:paraId="47E95F1F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600" w:lineRule="auto"/>
        <w:ind w:right="0" w:firstLine="0" w:left="0"/>
        <w:jc w:val="both"/>
        <w:rPr>
          <w:rFonts w:ascii="Times New Roman" w:hAnsi="Times New Roman" w:eastAsia="Times New Roman" w:cs="Times New Roman"/>
          <w:b/>
          <w:bCs/>
          <w:color w:val="000000"/>
          <w:sz w:val="21"/>
          <w:szCs w:val="21"/>
          <w:highlight w:val="none"/>
        </w:rPr>
      </w:pPr>
      <w:r>
        <w:rPr>
          <w:rFonts w:ascii="Times New Roman" w:hAnsi="Times New Roman" w:eastAsia="Times New Roman" w:cs="Times New Roman"/>
          <w:b/>
          <w:color w:val="000000"/>
          <w:sz w:val="21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1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1"/>
          <w:highlight w:val="none"/>
        </w:rPr>
      </w:r>
    </w:p>
    <w:p w14:paraId="62A04C0F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600" w:lineRule="auto"/>
        <w:ind w:right="0" w:firstLine="0" w:left="0"/>
        <w:jc w:val="both"/>
        <w:rPr>
          <w:rFonts w:ascii="Times New Roman" w:hAnsi="Times New Roman" w:eastAsia="Times New Roman" w:cs="Times New Roman"/>
          <w:b/>
          <w:bCs/>
          <w:color w:val="000000"/>
          <w:sz w:val="21"/>
          <w:szCs w:val="21"/>
          <w:highlight w:val="none"/>
        </w:rPr>
      </w:pPr>
      <w:r>
        <w:rPr>
          <w:rFonts w:ascii="Times New Roman" w:hAnsi="Times New Roman" w:eastAsia="Times New Roman" w:cs="Times New Roman"/>
          <w:b/>
          <w:color w:val="000000"/>
          <w:sz w:val="21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1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1"/>
          <w:highlight w:val="none"/>
        </w:rPr>
      </w:r>
    </w:p>
    <w:p w14:paraId="56FC89E7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600" w:lineRule="auto"/>
        <w:ind w:right="0" w:firstLine="0" w:left="0"/>
        <w:jc w:val="both"/>
        <w:rPr>
          <w:rFonts w:ascii="Times New Roman" w:hAnsi="Times New Roman" w:eastAsia="Times New Roman" w:cs="Times New Roman"/>
          <w:b/>
          <w:bCs/>
          <w:color w:val="000000"/>
          <w:sz w:val="21"/>
          <w:szCs w:val="21"/>
          <w:highlight w:val="none"/>
        </w:rPr>
      </w:pPr>
      <w:r>
        <w:rPr>
          <w:rFonts w:ascii="Times New Roman" w:hAnsi="Times New Roman" w:eastAsia="Times New Roman" w:cs="Times New Roman"/>
          <w:b/>
          <w:color w:val="000000"/>
          <w:sz w:val="21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1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1"/>
          <w:highlight w:val="none"/>
        </w:rPr>
      </w:r>
    </w:p>
    <w:p w14:paraId="32E9DD0D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600" w:lineRule="auto"/>
        <w:ind w:right="0" w:firstLine="0" w:left="0"/>
        <w:jc w:val="both"/>
        <w:rPr>
          <w:rFonts w:ascii="Times New Roman" w:hAnsi="Times New Roman" w:eastAsia="Times New Roman" w:cs="Times New Roman"/>
          <w:b/>
          <w:bCs/>
          <w:color w:val="000000"/>
          <w:sz w:val="21"/>
          <w:szCs w:val="21"/>
          <w:highlight w:val="none"/>
        </w:rPr>
      </w:pPr>
      <w:r>
        <w:rPr>
          <w:rFonts w:ascii="Times New Roman" w:hAnsi="Times New Roman" w:eastAsia="Times New Roman" w:cs="Times New Roman"/>
          <w:b/>
          <w:color w:val="000000"/>
          <w:sz w:val="21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1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1"/>
          <w:highlight w:val="none"/>
        </w:rPr>
      </w:r>
    </w:p>
    <w:p w14:paraId="1D702CF2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600" w:lineRule="auto"/>
        <w:ind w:right="0" w:firstLine="0" w:left="0"/>
        <w:jc w:val="both"/>
        <w:rPr>
          <w:rFonts w:ascii="Times New Roman" w:hAnsi="Times New Roman" w:eastAsia="Times New Roman" w:cs="Times New Roman"/>
          <w:b/>
          <w:bCs/>
          <w:color w:val="000000"/>
          <w:sz w:val="21"/>
          <w:szCs w:val="21"/>
          <w:highlight w:val="none"/>
        </w:rPr>
      </w:pPr>
      <w:r>
        <w:rPr>
          <w:rFonts w:ascii="Times New Roman" w:hAnsi="Times New Roman" w:eastAsia="Times New Roman" w:cs="Times New Roman"/>
          <w:b/>
          <w:color w:val="000000"/>
          <w:sz w:val="21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1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1"/>
          <w:highlight w:val="none"/>
        </w:rPr>
      </w:r>
    </w:p>
    <w:p w14:paraId="3488DFE4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600" w:lineRule="auto"/>
        <w:ind w:right="0" w:firstLine="0" w:left="0"/>
        <w:jc w:val="both"/>
        <w:rPr>
          <w:rFonts w:ascii="Times New Roman" w:hAnsi="Times New Roman" w:eastAsia="Times New Roman" w:cs="Times New Roman"/>
          <w:b/>
          <w:bCs/>
          <w:color w:val="000000"/>
          <w:sz w:val="21"/>
          <w:szCs w:val="21"/>
          <w:highlight w:val="none"/>
        </w:rPr>
      </w:pPr>
      <w:r>
        <w:rPr>
          <w:rFonts w:ascii="Times New Roman" w:hAnsi="Times New Roman" w:eastAsia="Times New Roman" w:cs="Times New Roman"/>
          <w:b/>
          <w:color w:val="000000"/>
          <w:sz w:val="21"/>
        </w:rPr>
        <w:t xml:space="preserve">Assinaturas – Docentes:</w:t>
      </w:r>
      <w:r>
        <w:rPr>
          <w:rFonts w:ascii="Times New Roman" w:hAnsi="Times New Roman" w:eastAsia="Times New Roman" w:cs="Times New Roman"/>
        </w:rPr>
      </w:r>
    </w:p>
    <w:p w14:paraId="54677200" w14:textId="048292CD">
      <w:pPr>
        <w:pBdr/>
        <w:spacing w:line="60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Prof. Alex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Sandro Benetti Dias 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373D8BAF" w14:textId="33E5A4E1">
      <w:pPr>
        <w:pBdr/>
        <w:spacing w:line="60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Prof. Gilmar Cardozo de Jesus 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62F6170A" w14:textId="11C95538">
      <w:pPr>
        <w:pBdr/>
        <w:spacing w:line="60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Profa. Gisele Massarani A. de Carvalho 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647A58ED" w14:textId="0CA408EC">
      <w:pPr>
        <w:pBdr/>
        <w:spacing w:line="60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Prof. Sandro Luis de Carvalho Neves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5DAB6C7B" w14:textId="6F66299B">
      <w:pPr>
        <w:pBdr/>
        <w:spacing w:line="60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Profa. Juliana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Aline Fungaro Ribeiro_______________________________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02EB378F" w14:textId="77777777">
      <w:pPr>
        <w:pBdr/>
        <w:spacing w:line="36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06D8FA9F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00" w:lineRule="atLeast"/>
        <w:ind w:right="0" w:firstLine="0" w:left="0"/>
        <w:rPr/>
      </w:pPr>
      <w:r>
        <w:rPr>
          <w:rFonts w:ascii="Segoe UI" w:hAnsi="Segoe UI" w:eastAsia="Segoe UI" w:cs="Segoe UI"/>
          <w:b/>
          <w:color w:val="000000"/>
          <w:sz w:val="21"/>
        </w:rPr>
        <w:t xml:space="preserve">Assinaturas – Discentes:</w:t>
        <w:br/>
      </w:r>
      <w:r/>
    </w:p>
    <w:p w14:paraId="72A3D3EC" w14:textId="2BB96AE4">
      <w:pPr>
        <w:pBdr/>
        <w:spacing w:line="600" w:lineRule="auto"/>
        <w:ind/>
        <w:jc w:val="both"/>
        <w:rPr>
          <w:rFonts w:ascii="Times New Roman" w:hAnsi="Times New Roman" w:eastAsia="Times New Roman" w:cs="Times New Roman"/>
          <w:b w:val="0"/>
          <w:bCs w:val="0"/>
          <w:color w:val="000000"/>
          <w:sz w:val="21"/>
          <w:szCs w:val="21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1"/>
        </w:rPr>
        <w:t xml:space="preserve">Hillary Lorena Dias da Mota:____________________________________________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 w14:paraId="7ABA2E35">
      <w:pPr>
        <w:pBdr/>
        <w:spacing w:line="600" w:lineRule="auto"/>
        <w:ind/>
        <w:jc w:val="both"/>
        <w:rPr>
          <w:rFonts w:ascii="Times New Roman" w:hAnsi="Times New Roman" w:eastAsia="Times New Roman" w:cs="Times New Roman"/>
          <w:b w:val="0"/>
          <w:bCs w:val="0"/>
          <w:color w:val="000000"/>
          <w:sz w:val="21"/>
          <w:szCs w:val="21"/>
        </w:rP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1"/>
        </w:rPr>
        <w:t xml:space="preserve">Ana Flávia dos Passos Nascimento:_______________________________________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 w14:paraId="64B45D2C">
      <w:pPr>
        <w:pBdr/>
        <w:spacing w:line="600" w:lineRule="auto"/>
        <w:ind/>
        <w:jc w:val="both"/>
        <w:rPr>
          <w:rFonts w:ascii="Times New Roman" w:hAnsi="Times New Roman" w:eastAsia="Times New Roman" w:cs="Times New Roman"/>
          <w:b w:val="0"/>
          <w:bCs w:val="0"/>
          <w:color w:val="000000"/>
          <w:sz w:val="21"/>
          <w:szCs w:val="21"/>
        </w:rP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1"/>
        </w:rPr>
        <w:t xml:space="preserve"> Rodney Adriano Risso:________________________________________________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 w14:paraId="37450E52">
      <w:pPr>
        <w:pBdr/>
        <w:spacing w:line="600" w:lineRule="auto"/>
        <w:ind/>
        <w:jc w:val="both"/>
        <w:rPr>
          <w:rFonts w:ascii="Times New Roman" w:hAnsi="Times New Roman" w:eastAsia="Times New Roman" w:cs="Times New Roman"/>
          <w:b w:val="0"/>
          <w:bCs w:val="0"/>
          <w:color w:val="000000"/>
          <w:sz w:val="21"/>
          <w:szCs w:val="21"/>
        </w:rP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1"/>
        </w:rPr>
        <w:t xml:space="preserve"> Pamela Aparecida Mendes Paredes:______________________________________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 w14:paraId="6AB4B072">
      <w:pPr>
        <w:pBdr/>
        <w:spacing w:line="600" w:lineRule="auto"/>
        <w:ind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1"/>
        </w:rPr>
        <w:t xml:space="preserve">Douglas Rodrigo Vasconcellos</w:t>
      </w:r>
      <w:r>
        <w:rPr>
          <w:b w:val="0"/>
          <w:bCs w:val="0"/>
        </w:rPr>
        <w:t xml:space="preserve">:____________________________________</w:t>
      </w:r>
      <w:r>
        <w:rPr>
          <w:b w:val="0"/>
          <w:bCs w:val="0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h="16838" w:orient="portrait" w:w="11906"/>
      <w:pgMar w:top="993" w:right="1134" w:bottom="851" w:left="1134" w:header="709" w:footer="0" w:gutter="0"/>
      <w:cols w:num="1" w:sep="0" w:space="720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 w14:paraId="353F17FD" w14:textId="77777777">
      <w:pPr>
        <w:pBdr/>
        <w:spacing/>
        <w:ind/>
        <w:rPr/>
      </w:pPr>
      <w:r>
        <w:separator/>
      </w:r>
      <w:r/>
    </w:p>
  </w:endnote>
  <w:endnote w:type="continuationSeparator" w:id="0">
    <w:p w14:paraId="0CCF0E71" w14:textId="77777777"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Tahoma">
    <w:panose1 w:val="020B0604030504040204"/>
  </w:font>
  <w:font w:name="Calibri">
    <w:panose1 w:val="020F0502020204030204"/>
  </w:font>
  <w:font w:name="Lucida Grande;Arial">
    <w:panose1 w:val="05040102010807070707"/>
  </w:font>
  <w:font w:name="Verdana">
    <w:panose1 w:val="020B0604030504040204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Microsoft YaHei">
    <w:panose1 w:val="020B0503020204020204"/>
  </w:font>
  <w:font w:name="Arial Narrow">
    <w:panose1 w:val="020B0604020202020204"/>
  </w:font>
  <w:font w:name="Arial">
    <w:panose1 w:val="020B0604020202020204"/>
  </w:font>
  <w:font w:name="Verdana Bold;Verdana">
    <w:panose1 w:val="020B0604030504040204"/>
  </w:font>
  <w:font w:name="SimSun">
    <w:panose1 w:val="02010600030101010101"/>
  </w:font>
  <w:font w:name="Lucida Sans">
    <w:panose1 w:val="020B0602030504020204"/>
  </w:font>
  <w:font w:name="Wingdings">
    <w:panose1 w:val="05000000000000000000"/>
  </w:font>
  <w:font w:name="Liberation Sans">
    <w:panose1 w:val="020B0604020202020204"/>
  </w:font>
  <w:font w:name="Liberation Serif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5997CC1D" w14:textId="77777777">
    <w:pPr>
      <w:pStyle w:val="1135"/>
      <w:pBdr/>
      <w:spacing/>
      <w:ind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2C14D5BA" w14:textId="4ED9175E">
    <w:pPr>
      <w:pStyle w:val="1135"/>
      <w:pBdr/>
      <w:spacing/>
      <w:ind/>
      <w:jc w:val="right"/>
      <w:rPr/>
    </w:pPr>
    <w:r/>
    <w:sdt>
      <w:sdtPr>
        <w15:appearance w15:val="boundingBox"/>
        <w:id w:val="-1390186998"/>
        <w:docPartObj>
          <w:docPartGallery w:val="Page Numbers (Top of Page)"/>
          <w:docPartUnique w:val="true"/>
        </w:docPartObj>
        <w:rPr/>
      </w:sdtPr>
      <w:sdtContent>
        <w:r>
          <w:t xml:space="preserve">Página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PAGE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 xml:space="preserve">2</w:t>
        </w:r>
        <w:r>
          <w:rPr>
            <w:b/>
            <w:bCs/>
          </w:rPr>
          <w:fldChar w:fldCharType="end"/>
        </w:r>
        <w:r>
          <w:t xml:space="preserve"> de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NUMPAGES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 xml:space="preserve">2</w:t>
        </w:r>
        <w:r>
          <w:rPr>
            <w:b/>
            <w:bCs/>
          </w:rPr>
          <w:fldChar w:fldCharType="end"/>
        </w:r>
      </w:sdtContent>
    </w:sdt>
    <w:r/>
    <w:r/>
  </w:p>
  <w:p w14:paraId="3FE9F23F" w14:textId="77777777">
    <w:pPr>
      <w:pStyle w:val="1135"/>
      <w:pBdr/>
      <w:spacing/>
      <w:ind/>
      <w:rPr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053F1E01" w14:textId="17DB902A">
    <w:pPr>
      <w:pStyle w:val="1135"/>
      <w:pBdr/>
      <w:spacing/>
      <w:ind/>
      <w:jc w:val="right"/>
      <w:rPr/>
    </w:pPr>
    <w:r>
      <w:t xml:space="preserve">Página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</w:rPr>
      <w:fldChar w:fldCharType="separate"/>
    </w:r>
    <w:r>
      <w:rPr>
        <w:b/>
        <w:bCs/>
      </w:rPr>
      <w:t xml:space="preserve">1</w:t>
    </w:r>
    <w:r>
      <w:rPr>
        <w:b/>
        <w:bCs/>
      </w:rPr>
      <w:fldChar w:fldCharType="end"/>
    </w:r>
    <w:r>
      <w:t xml:space="preserve"> de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</w:rPr>
      <w:fldChar w:fldCharType="separate"/>
    </w:r>
    <w:r>
      <w:rPr>
        <w:b/>
        <w:bCs/>
      </w:rPr>
      <w:t xml:space="preserve">2</w:t>
    </w:r>
    <w:r>
      <w:rPr>
        <w:b/>
        <w:bCs/>
      </w:rPr>
      <w:fldChar w:fldCharType="end"/>
    </w:r>
    <w:r/>
  </w:p>
  <w:p w14:paraId="4B99056E" w14:textId="77777777">
    <w:pPr>
      <w:pStyle w:val="1135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 w14:paraId="70C8CD88" w14:textId="77777777">
      <w:pPr>
        <w:pBdr/>
        <w:spacing/>
        <w:ind/>
        <w:rPr/>
      </w:pPr>
      <w:r>
        <w:separator/>
      </w:r>
      <w:r/>
    </w:p>
  </w:footnote>
  <w:footnote w:type="continuationSeparator" w:id="0">
    <w:p w14:paraId="2670B540" w14:textId="77777777"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Ind w:w="-232" w:type="dxa"/>
      <w:tblW w:w="9370" w:type="dxa"/>
      <w:tblCellMar>
        <w:left w:w="18" w:type="dxa"/>
      </w:tblCellMar>
      <w:tblBorders>
        <w:top w:val="single" w:color="000001" w:sz="12" w:space="0"/>
        <w:left w:val="single" w:color="000001" w:sz="12" w:space="0"/>
        <w:bottom w:val="single" w:color="000001" w:sz="12" w:space="0"/>
        <w:insideH w:val="single" w:color="000001" w:sz="12" w:space="0"/>
      </w:tblBorders>
      <w:tblLook w:val="0000" w:firstRow="0" w:lastRow="0" w:firstColumn="0" w:lastColumn="0" w:noHBand="0" w:noVBand="0"/>
    </w:tblPr>
    <w:tblGrid>
      <w:gridCol w:w="1908"/>
      <w:gridCol w:w="7462"/>
    </w:tblGrid>
    <w:tr>
      <w:trPr>
        <w:trHeight w:val="1742"/>
      </w:trPr>
      <w:tc>
        <w:tcPr>
          <w:shd w:val="clear" w:color="auto" w:fill="auto"/>
          <w:tcBorders>
            <w:top w:val="single" w:color="000001" w:sz="12" w:space="0"/>
            <w:left w:val="single" w:color="000001" w:sz="12" w:space="0"/>
            <w:bottom w:val="single" w:color="000001" w:sz="12" w:space="0"/>
          </w:tcBorders>
          <w:tcW w:w="1908" w:type="dxa"/>
          <w:vAlign w:val="center"/>
          <w:textDirection w:val="lrTb"/>
          <w:noWrap w:val="false"/>
        </w:tcPr>
        <w:p w14:paraId="61CDCEAD" w14:textId="77777777">
          <w:pPr>
            <w:pBdr/>
            <w:spacing/>
            <w:ind/>
            <w:jc w:val="center"/>
            <w:rPr>
              <w:rFonts w:ascii="Arial" w:hAnsi="Arial" w:cs="Arial"/>
            </w:rPr>
          </w:pPr>
          <w:r>
            <w:rPr>
              <w:lang w:eastAsia="pt-BR"/>
            </w:rP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960120" cy="960120"/>
                    <wp:effectExtent l="0" t="0" r="0" b="0"/>
                    <wp:docPr id="1" name="Figura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Figura1"/>
                            <pic:cNvPicPr>
                              <a:picLocks noChangeAspect="1"/>
                            </pic:cNvPicPr>
                            <pic:nvPr/>
                          </pic:nvPicPr>
                          <pic:blipFill rotWithShape="1"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960120" cy="96012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width:75.60pt;height:75.60pt;mso-wrap-distance-left:0.00pt;mso-wrap-distance-top:0.00pt;mso-wrap-distance-right:0.00pt;mso-wrap-distance-bottom:0.00pt;z-index:1;" stroked="false">
                    <v:imagedata r:id="rId1" o:title=""/>
                    <o:lock v:ext="edit" rotation="t"/>
                  </v:shape>
                </w:pict>
              </mc:Fallback>
            </mc:AlternateContent>
          </w:r>
          <w:r>
            <w:rPr>
              <w:rFonts w:ascii="Arial" w:hAnsi="Arial" w:cs="Arial"/>
            </w:rPr>
          </w:r>
        </w:p>
      </w:tc>
      <w:tc>
        <w:tcPr>
          <w:shd w:val="clear" w:color="auto" w:fill="auto"/>
          <w:tcBorders>
            <w:top w:val="single" w:color="000001" w:sz="12" w:space="0"/>
            <w:left w:val="single" w:color="000001" w:sz="12" w:space="0"/>
            <w:bottom w:val="single" w:color="000001" w:sz="12" w:space="0"/>
            <w:right w:val="single" w:color="000001" w:sz="12" w:space="0"/>
          </w:tcBorders>
          <w:tcMar>
            <w:left w:w="48" w:type="dxa"/>
          </w:tcMar>
          <w:tcW w:w="7461" w:type="dxa"/>
          <w:vAlign w:val="center"/>
          <w:textDirection w:val="lrTb"/>
          <w:noWrap w:val="false"/>
        </w:tcPr>
        <w:p w14:paraId="385015A8" w14:textId="77777777">
          <w:pPr>
            <w:pBdr/>
            <w:spacing/>
            <w:ind/>
            <w:jc w:val="center"/>
            <w:rPr>
              <w:b/>
            </w:rPr>
          </w:pPr>
          <w:r>
            <w:rPr>
              <w:rFonts w:ascii="Arial Narrow" w:hAnsi="Arial Narrow" w:eastAsia="Arial Narrow" w:cs="Arial Narrow"/>
              <w:b/>
              <w:bCs/>
              <w:color w:val="0000ff"/>
              <w:sz w:val="22"/>
              <w:szCs w:val="22"/>
            </w:rPr>
            <w:t xml:space="preserve">        </w:t>
          </w:r>
          <w:r>
            <w:rPr>
              <w:b/>
              <w:bCs/>
              <w:color w:val="0000ff"/>
            </w:rPr>
            <w:t xml:space="preserve">Sociedade de Educação Nossa Senhora do Patrocínio</w:t>
          </w:r>
          <w:r>
            <w:rPr>
              <w:b/>
            </w:rPr>
          </w:r>
        </w:p>
        <w:p w14:paraId="5FD42103" w14:textId="77777777">
          <w:pPr>
            <w:pBdr/>
            <w:spacing/>
            <w:ind/>
            <w:jc w:val="center"/>
            <w:rPr>
              <w:rFonts w:ascii="Tahoma" w:hAnsi="Tahoma" w:cs="Tahoma"/>
              <w:sz w:val="28"/>
              <w:szCs w:val="28"/>
            </w:rPr>
          </w:pPr>
          <w:r>
            <w:rPr>
              <w:rFonts w:ascii="Tahoma" w:hAnsi="Tahoma" w:eastAsia="Tahoma" w:cs="Tahoma"/>
              <w:b/>
              <w:bCs/>
              <w:color w:val="0000ff"/>
              <w:sz w:val="28"/>
              <w:szCs w:val="28"/>
            </w:rPr>
            <w:t xml:space="preserve"> </w:t>
          </w:r>
          <w:r>
            <w:rPr>
              <w:rFonts w:ascii="Tahoma" w:hAnsi="Tahoma" w:cs="Tahoma"/>
              <w:b/>
              <w:bCs/>
              <w:color w:val="0000ff"/>
              <w:sz w:val="28"/>
              <w:szCs w:val="28"/>
            </w:rPr>
            <w:t xml:space="preserve">Centro Universitário Nossa Senhora do Patrocínio</w:t>
          </w:r>
          <w:r>
            <w:rPr>
              <w:rFonts w:ascii="Tahoma" w:hAnsi="Tahoma" w:cs="Tahoma"/>
              <w:sz w:val="28"/>
              <w:szCs w:val="28"/>
            </w:rPr>
          </w:r>
        </w:p>
        <w:p w14:paraId="7CDB6ADA" w14:textId="77777777">
          <w:pPr>
            <w:pBdr/>
            <w:spacing/>
            <w:ind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color w:val="0000ff"/>
              <w:sz w:val="16"/>
              <w:szCs w:val="16"/>
            </w:rPr>
            <w:t xml:space="preserve">Decreto Presidencial de 1º Jul 98 - Publicado no D.O.U. de 02 Jul 98</w:t>
          </w:r>
          <w:r>
            <w:rPr>
              <w:rFonts w:ascii="Arial" w:hAnsi="Arial" w:cs="Arial"/>
              <w:b/>
              <w:sz w:val="16"/>
              <w:szCs w:val="16"/>
            </w:rPr>
          </w:r>
        </w:p>
        <w:p w14:paraId="6BCC8D68" w14:textId="77777777">
          <w:pPr>
            <w:pBdr/>
            <w:spacing/>
            <w:ind/>
            <w:jc w:val="center"/>
            <w:rPr>
              <w:rFonts w:ascii="Arial" w:hAnsi="Arial" w:cs="Arial"/>
              <w:b/>
              <w:color w:val="0000ff"/>
              <w:sz w:val="16"/>
              <w:szCs w:val="16"/>
            </w:rPr>
          </w:pPr>
          <w:r>
            <w:rPr>
              <w:rFonts w:ascii="Arial" w:hAnsi="Arial" w:cs="Arial"/>
              <w:b/>
              <w:color w:val="0000ff"/>
              <w:sz w:val="16"/>
              <w:szCs w:val="16"/>
            </w:rPr>
            <w:t xml:space="preserve">Rua Madre Maria Basília, 965 - Itu – SP - CEP 13300460</w:t>
          </w:r>
          <w:r>
            <w:rPr>
              <w:rFonts w:ascii="Arial" w:hAnsi="Arial" w:cs="Arial"/>
              <w:b/>
              <w:color w:val="0000ff"/>
              <w:sz w:val="16"/>
              <w:szCs w:val="16"/>
            </w:rPr>
          </w:r>
        </w:p>
        <w:p w14:paraId="6BB9E253" w14:textId="77777777">
          <w:pPr>
            <w:pBdr/>
            <w:spacing/>
            <w:ind/>
            <w:jc w:val="center"/>
            <w:rPr>
              <w:rFonts w:ascii="Arial" w:hAnsi="Arial" w:cs="Arial"/>
              <w:b/>
              <w:color w:val="0000ff"/>
              <w:sz w:val="4"/>
              <w:szCs w:val="4"/>
            </w:rPr>
          </w:pPr>
          <w:r>
            <w:rPr>
              <w:rFonts w:ascii="Arial" w:hAnsi="Arial" w:cs="Arial"/>
              <w:b/>
              <w:color w:val="0000ff"/>
              <w:sz w:val="4"/>
              <w:szCs w:val="4"/>
            </w:rPr>
          </w:r>
          <w:r>
            <w:rPr>
              <w:rFonts w:ascii="Arial" w:hAnsi="Arial" w:cs="Arial"/>
              <w:b/>
              <w:color w:val="0000ff"/>
              <w:sz w:val="4"/>
              <w:szCs w:val="4"/>
            </w:rPr>
          </w:r>
        </w:p>
      </w:tc>
    </w:tr>
  </w:tbl>
  <w:p w14:paraId="7411C064" w14:textId="77777777">
    <w:pPr>
      <w:pStyle w:val="1134"/>
      <w:pBdr/>
      <w:spacing/>
      <w:ind/>
      <w:jc w:val="right"/>
      <w:rPr/>
    </w:pPr>
    <w:r>
      <w:fldChar w:fldCharType="begin"/>
    </w:r>
    <w:r>
      <w:instrText xml:space="preserve">PAGE</w:instrText>
    </w:r>
    <w:r>
      <w:fldChar w:fldCharType="separate"/>
    </w:r>
    <w:r>
      <w:t xml:space="preserve">0</w:t>
    </w:r>
    <w:r>
      <w:fldChar w:fldCharType="end"/>
    </w:r>
    <w:r/>
  </w:p>
  <w:p w14:paraId="23DE523C" w14:textId="77777777">
    <w:pPr>
      <w:pStyle w:val="1134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Ind w:w="-276" w:type="dxa"/>
      <w:tblW w:w="9356" w:type="dxa"/>
      <w:tblCellMar>
        <w:left w:w="0" w:type="dxa"/>
        <w:right w:w="0" w:type="dxa"/>
      </w:tblCellMar>
      <w:tblBorders/>
      <w:tblLook w:val="0000" w:firstRow="0" w:lastRow="0" w:firstColumn="0" w:lastColumn="0" w:noHBand="0" w:noVBand="0"/>
    </w:tblPr>
    <w:tblGrid>
      <w:gridCol w:w="3341"/>
      <w:gridCol w:w="3187"/>
      <w:gridCol w:w="2828"/>
    </w:tblGrid>
    <w:tr>
      <w:trPr/>
      <w:tc>
        <w:tcPr>
          <w:shd w:val="clear" w:color="auto" w:fill="auto"/>
          <w:tcBorders/>
          <w:tcW w:w="3341" w:type="dxa"/>
          <w:textDirection w:val="lrTb"/>
          <w:noWrap w:val="false"/>
        </w:tcPr>
        <w:p w14:paraId="0D0B940D" w14:textId="77777777">
          <w:pPr>
            <w:pBdr/>
            <w:spacing/>
            <w:ind w:left="276"/>
            <w:rPr>
              <w:lang w:eastAsia="pt-BR"/>
            </w:rPr>
          </w:pPr>
          <w:r>
            <w:rPr>
              <w:lang w:eastAsia="pt-BR"/>
            </w:rP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1292860" cy="443865"/>
                    <wp:effectExtent l="0" t="0" r="0" b="0"/>
                    <wp:docPr id="2" name="Figura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Figura2"/>
                            <pic:cNvPicPr>
                              <a:picLocks noChangeAspect="1"/>
                            </pic:cNvPicPr>
                            <pic:nvPr/>
                          </pic:nvPicPr>
                          <pic:blipFill rotWithShape="1"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292860" cy="443865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" o:spid="_x0000_s1" type="#_x0000_t75" style="width:101.80pt;height:34.95pt;mso-wrap-distance-left:0.00pt;mso-wrap-distance-top:0.00pt;mso-wrap-distance-right:0.00pt;mso-wrap-distance-bottom:0.00pt;z-index:1;" stroked="false">
                    <v:imagedata r:id="rId1" o:title=""/>
                    <o:lock v:ext="edit" rotation="t"/>
                  </v:shape>
                </w:pict>
              </mc:Fallback>
            </mc:AlternateContent>
          </w:r>
          <w:r>
            <w:rPr>
              <w:lang w:eastAsia="pt-BR"/>
            </w:rPr>
          </w:r>
        </w:p>
      </w:tc>
      <w:tc>
        <w:tcPr>
          <w:shd w:val="clear" w:color="auto" w:fill="auto"/>
          <w:tcBorders/>
          <w:tcW w:w="3187" w:type="dxa"/>
          <w:textDirection w:val="lrTb"/>
          <w:noWrap w:val="false"/>
        </w:tcPr>
        <w:p w14:paraId="0E27B00A" w14:textId="77777777">
          <w:pPr>
            <w:pBdr/>
            <w:spacing/>
            <w:ind/>
            <w:rPr>
              <w:color w:val="1f497d"/>
            </w:rPr>
          </w:pPr>
          <w:r>
            <w:rPr>
              <w:color w:val="1f497d"/>
            </w:rPr>
          </w:r>
          <w:r>
            <w:rPr>
              <w:color w:val="1f497d"/>
            </w:rPr>
          </w:r>
        </w:p>
        <w:p w14:paraId="60061E4C" w14:textId="77777777">
          <w:pPr>
            <w:pBdr/>
            <w:spacing/>
            <w:ind/>
            <w:rPr>
              <w:color w:val="1f497d"/>
            </w:rPr>
          </w:pPr>
          <w:r>
            <w:rPr>
              <w:color w:val="1f497d"/>
            </w:rPr>
          </w:r>
          <w:r>
            <w:rPr>
              <w:color w:val="1f497d"/>
            </w:rPr>
          </w:r>
        </w:p>
        <w:p w14:paraId="49099AA2" w14:textId="77777777">
          <w:pPr>
            <w:pBdr/>
            <w:spacing/>
            <w:ind/>
            <w:jc w:val="right"/>
            <w:rPr>
              <w:rFonts w:ascii="Verdana" w:hAnsi="Verdana" w:cs="Verdana"/>
              <w:b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Itu I</w:t>
          </w:r>
          <w:r>
            <w:rPr>
              <w:rFonts w:ascii="Verdana" w:hAnsi="Verdana" w:cs="Verdana"/>
              <w:b/>
              <w:color w:val="1f497d"/>
              <w:sz w:val="16"/>
            </w:rPr>
          </w:r>
        </w:p>
        <w:p w14:paraId="3A9E00B6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  <w:t xml:space="preserve">R. Madre Maria Basília, 965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533BE040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color w:val="1f497d"/>
              <w:sz w:val="16"/>
            </w:rPr>
            <w:t xml:space="preserve">13300 903 Itu SP </w:t>
          </w:r>
          <w:r/>
        </w:p>
        <w:p w14:paraId="48990EF4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T </w:t>
          </w:r>
          <w:r>
            <w:rPr>
              <w:rFonts w:ascii="Verdana" w:hAnsi="Verdana" w:cs="Verdana"/>
              <w:color w:val="1f497d"/>
              <w:sz w:val="15"/>
            </w:rPr>
            <w:t xml:space="preserve">55 11</w:t>
          </w:r>
          <w:r>
            <w:rPr>
              <w:rFonts w:ascii="Verdana" w:hAnsi="Verdana" w:cs="Verdana"/>
              <w:color w:val="1f497d"/>
              <w:sz w:val="16"/>
            </w:rPr>
            <w:t xml:space="preserve"> 4013 9900</w:t>
          </w:r>
          <w:r/>
        </w:p>
        <w:p w14:paraId="44EAFD9C" w14:textId="77777777">
          <w:pPr>
            <w:pBdr/>
            <w:spacing/>
            <w:ind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</w:tc>
      <w:tc>
        <w:tcPr>
          <w:shd w:val="clear" w:color="auto" w:fill="auto"/>
          <w:tcBorders/>
          <w:tcW w:w="2828" w:type="dxa"/>
          <w:textDirection w:val="lrTb"/>
          <w:noWrap w:val="false"/>
        </w:tcPr>
        <w:p w14:paraId="4B94D5A5" w14:textId="77777777">
          <w:pPr>
            <w:pBdr/>
            <w:spacing/>
            <w:ind/>
            <w:jc w:val="right"/>
            <w:rPr>
              <w:rFonts w:ascii="Verdana Bold;Verdana" w:hAnsi="Verdana Bold;Verdana" w:cs="Verdana Bold;Verdana"/>
              <w:color w:val="1f497d"/>
              <w:sz w:val="16"/>
            </w:rPr>
          </w:pPr>
          <w:r>
            <w:rPr>
              <w:rFonts w:ascii="Verdana Bold;Verdana" w:hAnsi="Verdana Bold;Verdana" w:cs="Verdana Bold;Verdana"/>
              <w:color w:val="1f497d"/>
              <w:sz w:val="16"/>
            </w:rPr>
          </w:r>
          <w:r>
            <w:rPr>
              <w:rFonts w:ascii="Verdana Bold;Verdana" w:hAnsi="Verdana Bold;Verdana" w:cs="Verdana Bold;Verdana"/>
              <w:color w:val="1f497d"/>
              <w:sz w:val="16"/>
            </w:rPr>
          </w:r>
        </w:p>
        <w:p w14:paraId="626C85D6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b/>
              <w:color w:val="1f497d"/>
              <w:sz w:val="18"/>
            </w:rPr>
            <w:t xml:space="preserve">www.ceunsp.edu.br</w:t>
          </w:r>
          <w:r/>
        </w:p>
        <w:p w14:paraId="3DEEC669" w14:textId="77777777">
          <w:pPr>
            <w:pBdr/>
            <w:spacing/>
            <w:ind/>
            <w:jc w:val="right"/>
            <w:rPr>
              <w:rFonts w:ascii="Verdana" w:hAnsi="Verdana" w:cs="Verdana"/>
              <w:b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</w:r>
          <w:r>
            <w:rPr>
              <w:rFonts w:ascii="Verdana" w:hAnsi="Verdana" w:cs="Verdana"/>
              <w:b/>
              <w:color w:val="1f497d"/>
              <w:sz w:val="16"/>
            </w:rPr>
          </w:r>
        </w:p>
        <w:p w14:paraId="20212FBC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Itu II 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0BCF041C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  <w:t xml:space="preserve">Rua do Patrocínio, 716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04E9E7B4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color w:val="1f497d"/>
              <w:sz w:val="16"/>
            </w:rPr>
            <w:t xml:space="preserve">13300 200 Itu SP </w:t>
          </w:r>
          <w:r/>
        </w:p>
        <w:p w14:paraId="6AD46FFF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T </w:t>
          </w:r>
          <w:r>
            <w:rPr>
              <w:rFonts w:ascii="Verdana" w:hAnsi="Verdana" w:cs="Verdana"/>
              <w:color w:val="1f497d"/>
              <w:sz w:val="15"/>
            </w:rPr>
            <w:t xml:space="preserve">55 11</w:t>
          </w:r>
          <w:r>
            <w:rPr>
              <w:rFonts w:ascii="Verdana" w:hAnsi="Verdana" w:cs="Verdana"/>
              <w:color w:val="1f497d"/>
              <w:sz w:val="16"/>
            </w:rPr>
            <w:t xml:space="preserve"> 4013 9900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3656B9AB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485136FA" w14:textId="77777777">
          <w:pPr>
            <w:pBdr/>
            <w:spacing/>
            <w:ind/>
            <w:jc w:val="right"/>
            <w:rPr>
              <w:rFonts w:ascii="Verdana" w:hAnsi="Verdana" w:cs="Verdana"/>
              <w:b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Salto</w:t>
          </w:r>
          <w:r>
            <w:rPr>
              <w:rFonts w:ascii="Verdana" w:hAnsi="Verdana" w:cs="Verdana"/>
              <w:b/>
              <w:color w:val="1f497d"/>
              <w:sz w:val="16"/>
            </w:rPr>
          </w:r>
        </w:p>
        <w:p w14:paraId="404E1B34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  <w:t xml:space="preserve">Pç. Antônio Vieira Tavares, 153</w:t>
          </w:r>
          <w:r>
            <w:rPr>
              <w:rFonts w:ascii="Verdana" w:hAnsi="Verdana" w:cs="Verdana"/>
              <w:color w:val="1f497d"/>
              <w:sz w:val="16"/>
            </w:rPr>
            <w:br/>
            <w:t xml:space="preserve">13320 219 Salto SP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5F42AB30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T </w:t>
          </w:r>
          <w:r>
            <w:rPr>
              <w:rFonts w:ascii="Verdana" w:hAnsi="Verdana" w:cs="Verdana"/>
              <w:color w:val="1f497d"/>
              <w:sz w:val="15"/>
              <w:szCs w:val="15"/>
            </w:rPr>
            <w:t xml:space="preserve">55 11</w:t>
          </w:r>
          <w:r>
            <w:rPr>
              <w:rFonts w:ascii="Verdana" w:hAnsi="Verdana" w:cs="Verdana"/>
              <w:color w:val="1f497d"/>
              <w:sz w:val="16"/>
            </w:rPr>
            <w:t xml:space="preserve"> 4028 8800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45FB0818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049F31CB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53128261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</w:tc>
    </w:tr>
  </w:tbl>
  <w:p w14:paraId="62486C05" w14:textId="77777777">
    <w:pPr>
      <w:pStyle w:val="1134"/>
      <w:pBdr/>
      <w:spacing/>
      <w:ind/>
      <w:rPr/>
    </w:pPr>
    <w:r/>
    <w:r/>
  </w:p>
  <w:p w14:paraId="4101652C" w14:textId="77777777">
    <w:pPr>
      <w:pStyle w:val="1134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Ind w:w="-276" w:type="dxa"/>
      <w:tblW w:w="9870" w:type="dxa"/>
      <w:tblCellMar>
        <w:left w:w="0" w:type="dxa"/>
        <w:right w:w="0" w:type="dxa"/>
      </w:tblCellMar>
      <w:tblBorders/>
      <w:tblLook w:val="0000" w:firstRow="0" w:lastRow="0" w:firstColumn="0" w:lastColumn="0" w:noHBand="0" w:noVBand="0"/>
    </w:tblPr>
    <w:tblGrid>
      <w:gridCol w:w="3340"/>
      <w:gridCol w:w="3512"/>
      <w:gridCol w:w="3018"/>
    </w:tblGrid>
    <w:tr>
      <w:trPr>
        <w:trHeight w:val="2550"/>
      </w:trPr>
      <w:tc>
        <w:tcPr>
          <w:shd w:val="clear" w:color="auto" w:fill="auto"/>
          <w:tcBorders/>
          <w:tcW w:w="3340" w:type="dxa"/>
          <w:textDirection w:val="lrTb"/>
          <w:noWrap w:val="false"/>
        </w:tcPr>
        <w:p w14:paraId="1299C43A" w14:textId="77777777">
          <w:pPr>
            <w:pBdr/>
            <w:spacing/>
            <w:ind w:left="276"/>
            <w:rPr>
              <w:lang w:eastAsia="pt-BR"/>
            </w:rPr>
          </w:pPr>
          <w:r>
            <w:rPr>
              <w:lang w:eastAsia="pt-BR"/>
            </w:rP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1292860" cy="443865"/>
                    <wp:effectExtent l="0" t="0" r="0" b="0"/>
                    <wp:docPr id="3" name="Pictur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3" name="Picture 26"/>
                            <pic:cNvPicPr>
                              <a:picLocks noChangeAspect="1"/>
                            </pic:cNvPicPr>
                            <pic:nvPr/>
                          </pic:nvPicPr>
                          <pic:blipFill rotWithShape="1">
                            <a:blip r:embed="rId1"/>
                            <a:srcRect l="-10" t="-31" r="-10" b="-31"/>
                            <a:stretch/>
                          </pic:blipFill>
                          <pic:spPr bwMode="auto">
                            <a:xfrm>
                              <a:off x="0" y="0"/>
                              <a:ext cx="1292860" cy="443865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2" o:spid="_x0000_s2" type="#_x0000_t75" style="width:101.80pt;height:34.95pt;mso-wrap-distance-left:0.00pt;mso-wrap-distance-top:0.00pt;mso-wrap-distance-right:0.00pt;mso-wrap-distance-bottom:0.00pt;z-index:1;" stroked="false">
                    <v:imagedata r:id="rId1" o:title="" croptop="-19f" cropleft="-6f" cropbottom="-19f" cropright="-6f"/>
                    <o:lock v:ext="edit" rotation="t"/>
                  </v:shape>
                </w:pict>
              </mc:Fallback>
            </mc:AlternateContent>
          </w:r>
          <w:r>
            <w:rPr>
              <w:lang w:eastAsia="pt-BR"/>
            </w:rPr>
          </w:r>
        </w:p>
      </w:tc>
      <w:tc>
        <w:tcPr>
          <w:shd w:val="clear" w:color="auto" w:fill="auto"/>
          <w:tcBorders/>
          <w:tcW w:w="3512" w:type="dxa"/>
          <w:textDirection w:val="lrTb"/>
          <w:noWrap w:val="false"/>
        </w:tcPr>
        <w:p w14:paraId="4DDBEF00" w14:textId="77777777">
          <w:pPr>
            <w:pBdr/>
            <w:spacing/>
            <w:ind/>
            <w:rPr>
              <w:color w:val="1f497d"/>
            </w:rPr>
          </w:pPr>
          <w:r>
            <w:rPr>
              <w:color w:val="1f497d"/>
            </w:rPr>
          </w:r>
          <w:r>
            <w:rPr>
              <w:color w:val="1f497d"/>
            </w:rPr>
          </w:r>
        </w:p>
        <w:p w14:paraId="3461D779" w14:textId="77777777">
          <w:pPr>
            <w:pBdr/>
            <w:spacing/>
            <w:ind/>
            <w:rPr>
              <w:color w:val="1f497d"/>
            </w:rPr>
          </w:pPr>
          <w:r>
            <w:rPr>
              <w:color w:val="1f497d"/>
            </w:rPr>
          </w:r>
          <w:r>
            <w:rPr>
              <w:color w:val="1f497d"/>
            </w:rPr>
          </w:r>
        </w:p>
        <w:p w14:paraId="443A90EB" w14:textId="77777777">
          <w:pPr>
            <w:pBdr/>
            <w:spacing/>
            <w:ind/>
            <w:jc w:val="right"/>
            <w:rPr>
              <w:rFonts w:ascii="Verdana" w:hAnsi="Verdana" w:cs="Verdana"/>
              <w:b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Itu I</w:t>
          </w:r>
          <w:r>
            <w:rPr>
              <w:rFonts w:ascii="Verdana" w:hAnsi="Verdana" w:cs="Verdana"/>
              <w:b/>
              <w:color w:val="1f497d"/>
              <w:sz w:val="16"/>
            </w:rPr>
          </w:r>
        </w:p>
        <w:p w14:paraId="286994C4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  <w:t xml:space="preserve">R. Madre Maria Basília, 965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006A1BB6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color w:val="1f497d"/>
              <w:sz w:val="16"/>
            </w:rPr>
            <w:t xml:space="preserve">13300 903 Itu SP </w:t>
          </w:r>
          <w:r/>
        </w:p>
        <w:p w14:paraId="648D89AC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T </w:t>
          </w:r>
          <w:r>
            <w:rPr>
              <w:rFonts w:ascii="Verdana" w:hAnsi="Verdana" w:cs="Verdana"/>
              <w:color w:val="1f497d"/>
              <w:sz w:val="15"/>
            </w:rPr>
            <w:t xml:space="preserve">55 11</w:t>
          </w:r>
          <w:r>
            <w:rPr>
              <w:rFonts w:ascii="Verdana" w:hAnsi="Verdana" w:cs="Verdana"/>
              <w:color w:val="1f497d"/>
              <w:sz w:val="16"/>
            </w:rPr>
            <w:t xml:space="preserve"> 4013 9900</w:t>
          </w:r>
          <w:r/>
        </w:p>
        <w:p w14:paraId="3CF2D8B6" w14:textId="77777777">
          <w:pPr>
            <w:pBdr/>
            <w:spacing/>
            <w:ind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</w:tc>
      <w:tc>
        <w:tcPr>
          <w:shd w:val="clear" w:color="auto" w:fill="auto"/>
          <w:tcBorders/>
          <w:tcW w:w="3018" w:type="dxa"/>
          <w:textDirection w:val="lrTb"/>
          <w:noWrap w:val="false"/>
        </w:tcPr>
        <w:p w14:paraId="0FB78278" w14:textId="77777777">
          <w:pPr>
            <w:pBdr/>
            <w:spacing/>
            <w:ind/>
            <w:jc w:val="right"/>
            <w:rPr>
              <w:rFonts w:ascii="Verdana Bold;Verdana" w:hAnsi="Verdana Bold;Verdana" w:cs="Verdana Bold;Verdana"/>
              <w:color w:val="1f497d"/>
              <w:sz w:val="16"/>
            </w:rPr>
          </w:pPr>
          <w:r>
            <w:rPr>
              <w:rFonts w:ascii="Verdana Bold;Verdana" w:hAnsi="Verdana Bold;Verdana" w:cs="Verdana Bold;Verdana"/>
              <w:color w:val="1f497d"/>
              <w:sz w:val="16"/>
            </w:rPr>
          </w:r>
          <w:r>
            <w:rPr>
              <w:rFonts w:ascii="Verdana Bold;Verdana" w:hAnsi="Verdana Bold;Verdana" w:cs="Verdana Bold;Verdana"/>
              <w:color w:val="1f497d"/>
              <w:sz w:val="16"/>
            </w:rPr>
          </w:r>
        </w:p>
        <w:p w14:paraId="70447822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b/>
              <w:color w:val="1f497d"/>
              <w:sz w:val="18"/>
            </w:rPr>
            <w:t xml:space="preserve">www.ceunsp.edu.br</w:t>
          </w:r>
          <w:r/>
        </w:p>
        <w:p w14:paraId="1FC39945" w14:textId="77777777">
          <w:pPr>
            <w:pBdr/>
            <w:spacing/>
            <w:ind/>
            <w:jc w:val="right"/>
            <w:rPr>
              <w:rFonts w:ascii="Verdana" w:hAnsi="Verdana" w:cs="Verdana"/>
              <w:b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</w:r>
          <w:r>
            <w:rPr>
              <w:rFonts w:ascii="Verdana" w:hAnsi="Verdana" w:cs="Verdana"/>
              <w:b/>
              <w:color w:val="1f497d"/>
              <w:sz w:val="16"/>
            </w:rPr>
          </w:r>
        </w:p>
        <w:p w14:paraId="01F20AF1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Itu II 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3DD76867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  <w:t xml:space="preserve">Rua do Patrocínio, 716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22AF75A4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color w:val="1f497d"/>
              <w:sz w:val="16"/>
            </w:rPr>
            <w:t xml:space="preserve">13300 200 Itu SP </w:t>
          </w:r>
          <w:r/>
        </w:p>
        <w:p w14:paraId="42DBDF9E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T </w:t>
          </w:r>
          <w:r>
            <w:rPr>
              <w:rFonts w:ascii="Verdana" w:hAnsi="Verdana" w:cs="Verdana"/>
              <w:color w:val="1f497d"/>
              <w:sz w:val="15"/>
            </w:rPr>
            <w:t xml:space="preserve">55 11</w:t>
          </w:r>
          <w:r>
            <w:rPr>
              <w:rFonts w:ascii="Verdana" w:hAnsi="Verdana" w:cs="Verdana"/>
              <w:color w:val="1f497d"/>
              <w:sz w:val="16"/>
            </w:rPr>
            <w:t xml:space="preserve"> 4013 9900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0562CB0E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3B8FEDEB" w14:textId="77777777">
          <w:pPr>
            <w:pBdr/>
            <w:spacing/>
            <w:ind/>
            <w:jc w:val="right"/>
            <w:rPr>
              <w:rFonts w:ascii="Verdana" w:hAnsi="Verdana" w:cs="Verdana"/>
              <w:b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Salto</w:t>
          </w:r>
          <w:r>
            <w:rPr>
              <w:rFonts w:ascii="Verdana" w:hAnsi="Verdana" w:cs="Verdana"/>
              <w:b/>
              <w:color w:val="1f497d"/>
              <w:sz w:val="16"/>
            </w:rPr>
          </w:r>
        </w:p>
        <w:p w14:paraId="5DAF203A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  <w:t xml:space="preserve">Pç. Antônio Vieira Tavares, 153</w:t>
          </w:r>
          <w:r>
            <w:rPr>
              <w:rFonts w:ascii="Verdana" w:hAnsi="Verdana" w:cs="Verdana"/>
              <w:color w:val="1f497d"/>
              <w:sz w:val="16"/>
            </w:rPr>
            <w:br/>
            <w:t xml:space="preserve">13320 219 Salto SP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0D8383CF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T </w:t>
          </w:r>
          <w:r>
            <w:rPr>
              <w:rFonts w:ascii="Verdana" w:hAnsi="Verdana" w:cs="Verdana"/>
              <w:color w:val="1f497d"/>
              <w:sz w:val="15"/>
              <w:szCs w:val="15"/>
            </w:rPr>
            <w:t xml:space="preserve">55 11</w:t>
          </w:r>
          <w:r>
            <w:rPr>
              <w:rFonts w:ascii="Verdana" w:hAnsi="Verdana" w:cs="Verdana"/>
              <w:color w:val="1f497d"/>
              <w:sz w:val="16"/>
            </w:rPr>
            <w:t xml:space="preserve"> 4028 8800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34CE0A41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62EBF3C5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6D98A12B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</w:tc>
    </w:tr>
  </w:tbl>
  <w:p w14:paraId="2946DB82" w14:textId="77777777">
    <w:pPr>
      <w:pStyle w:val="1134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EF15F9"/>
    <w:lvl w:ilvl="0">
      <w:isLgl w:val="false"/>
      <w:lvlJc w:val="righ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36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36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360" w:left="6469"/>
      </w:pPr>
      <w:rPr/>
      <w:start w:val="1"/>
      <w:suff w:val="tab"/>
    </w:lvl>
  </w:abstractNum>
  <w:abstractNum w:abstractNumId="1">
    <w:nsid w:val="5ECA4AF8"/>
    <w:lvl w:ilvl="0">
      <w:isLgl w:val="false"/>
      <w:lvlJc w:val="righ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36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36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360" w:left="6469"/>
      </w:pPr>
      <w:rPr/>
      <w:start w:val="1"/>
      <w:suff w:val="tab"/>
    </w:lvl>
  </w:abstractNum>
  <w:abstractNum w:abstractNumId="2">
    <w:nsid w:val="30A28D67"/>
    <w:lvl w:ilvl="0">
      <w:isLgl w:val="false"/>
      <w:lvlJc w:val="righ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36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36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360" w:left="6469"/>
      </w:pPr>
      <w:rPr/>
      <w:start w:val="1"/>
      <w:suff w:val="tab"/>
    </w:lvl>
  </w:abstractNum>
  <w:abstractNum w:abstractNumId="3">
    <w:nsid w:val="76B2395D"/>
    <w:lvl w:ilvl="0">
      <w:isLgl w:val="false"/>
      <w:lvlJc w:val="righ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36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36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360" w:left="6469"/>
      </w:pPr>
      <w:rPr/>
      <w:start w:val="1"/>
      <w:suff w:val="tab"/>
    </w:lvl>
  </w:abstractNum>
  <w:abstractNum w:abstractNumId="4">
    <w:nsid w:val="477EE2D1"/>
    <w:lvl w:ilvl="0">
      <w:isLgl w:val="false"/>
      <w:lvlJc w:val="righ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36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36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360" w:left="6469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evenAndOddHeaders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Liberation Serif" w:hAnsi="Liberation Serif" w:eastAsia="SimSun" w:cs="Lucida Sans"/>
        <w:szCs w:val="24"/>
        <w:lang w:val="pt-BR" w:eastAsia="zh-CN" w:bidi="hi-IN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"/>
    <w:basedOn w:val="11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11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11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11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1108"/>
    <w:next w:val="1108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1108"/>
    <w:next w:val="1108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1108"/>
    <w:next w:val="1108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1108"/>
    <w:next w:val="1108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1108"/>
    <w:next w:val="1108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1108"/>
    <w:next w:val="1108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1108"/>
    <w:next w:val="1108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1108"/>
    <w:next w:val="1108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1108"/>
    <w:next w:val="1108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1 Char"/>
    <w:basedOn w:val="1109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1109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1109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1109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1109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1109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1109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1109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1109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60">
    <w:name w:val="Title Char"/>
    <w:basedOn w:val="1109"/>
    <w:link w:val="112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1108"/>
    <w:next w:val="1108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1109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1108"/>
    <w:next w:val="1108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1109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65">
    <w:name w:val="List Paragraph"/>
    <w:basedOn w:val="1108"/>
    <w:uiPriority w:val="34"/>
    <w:qFormat/>
    <w:pPr>
      <w:pBdr/>
      <w:spacing/>
      <w:ind w:left="720"/>
      <w:contextualSpacing w:val="true"/>
    </w:pPr>
  </w:style>
  <w:style w:type="character" w:styleId="166">
    <w:name w:val="Intense Emphasis"/>
    <w:basedOn w:val="110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1108"/>
    <w:next w:val="1108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1109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110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1108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110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1109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1109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110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110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77">
    <w:name w:val="Header Char"/>
    <w:basedOn w:val="1109"/>
    <w:link w:val="1134"/>
    <w:uiPriority w:val="99"/>
    <w:pPr>
      <w:pBdr/>
      <w:spacing/>
      <w:ind/>
    </w:pPr>
  </w:style>
  <w:style w:type="character" w:styleId="179">
    <w:name w:val="Footer Char"/>
    <w:basedOn w:val="1109"/>
    <w:link w:val="1135"/>
    <w:uiPriority w:val="99"/>
    <w:pPr>
      <w:pBdr/>
      <w:spacing/>
      <w:ind/>
    </w:pPr>
  </w:style>
  <w:style w:type="character" w:styleId="182">
    <w:name w:val="Footnote Text Char"/>
    <w:basedOn w:val="1109"/>
    <w:link w:val="1136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1109"/>
    <w:uiPriority w:val="99"/>
    <w:semiHidden/>
    <w:unhideWhenUsed/>
    <w:pPr>
      <w:pBdr/>
      <w:spacing/>
      <w:ind/>
    </w:pPr>
    <w:rPr>
      <w:vertAlign w:val="superscript"/>
    </w:rPr>
  </w:style>
  <w:style w:type="character" w:styleId="185">
    <w:name w:val="Endnote Text Char"/>
    <w:basedOn w:val="1109"/>
    <w:link w:val="1137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1109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110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110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1108"/>
    <w:next w:val="1108"/>
    <w:uiPriority w:val="39"/>
    <w:unhideWhenUsed/>
    <w:pPr>
      <w:pBdr/>
      <w:spacing w:after="100"/>
      <w:ind/>
    </w:pPr>
  </w:style>
  <w:style w:type="paragraph" w:styleId="190">
    <w:name w:val="toc 2"/>
    <w:basedOn w:val="1108"/>
    <w:next w:val="1108"/>
    <w:uiPriority w:val="39"/>
    <w:unhideWhenUsed/>
    <w:pPr>
      <w:pBdr/>
      <w:spacing w:after="100"/>
      <w:ind w:left="220"/>
    </w:pPr>
  </w:style>
  <w:style w:type="paragraph" w:styleId="191">
    <w:name w:val="toc 3"/>
    <w:basedOn w:val="1108"/>
    <w:next w:val="1108"/>
    <w:uiPriority w:val="39"/>
    <w:unhideWhenUsed/>
    <w:pPr>
      <w:pBdr/>
      <w:spacing w:after="100"/>
      <w:ind w:left="440"/>
    </w:pPr>
  </w:style>
  <w:style w:type="paragraph" w:styleId="192">
    <w:name w:val="toc 4"/>
    <w:basedOn w:val="1108"/>
    <w:next w:val="1108"/>
    <w:uiPriority w:val="39"/>
    <w:unhideWhenUsed/>
    <w:pPr>
      <w:pBdr/>
      <w:spacing w:after="100"/>
      <w:ind w:left="660"/>
    </w:pPr>
  </w:style>
  <w:style w:type="paragraph" w:styleId="193">
    <w:name w:val="toc 5"/>
    <w:basedOn w:val="1108"/>
    <w:next w:val="1108"/>
    <w:uiPriority w:val="39"/>
    <w:unhideWhenUsed/>
    <w:pPr>
      <w:pBdr/>
      <w:spacing w:after="100"/>
      <w:ind w:left="880"/>
    </w:pPr>
  </w:style>
  <w:style w:type="paragraph" w:styleId="194">
    <w:name w:val="toc 6"/>
    <w:basedOn w:val="1108"/>
    <w:next w:val="1108"/>
    <w:uiPriority w:val="39"/>
    <w:unhideWhenUsed/>
    <w:pPr>
      <w:pBdr/>
      <w:spacing w:after="100"/>
      <w:ind w:left="1100"/>
    </w:pPr>
  </w:style>
  <w:style w:type="paragraph" w:styleId="195">
    <w:name w:val="toc 7"/>
    <w:basedOn w:val="1108"/>
    <w:next w:val="1108"/>
    <w:uiPriority w:val="39"/>
    <w:unhideWhenUsed/>
    <w:pPr>
      <w:pBdr/>
      <w:spacing w:after="100"/>
      <w:ind w:left="1320"/>
    </w:pPr>
  </w:style>
  <w:style w:type="paragraph" w:styleId="196">
    <w:name w:val="toc 8"/>
    <w:basedOn w:val="1108"/>
    <w:next w:val="1108"/>
    <w:uiPriority w:val="39"/>
    <w:unhideWhenUsed/>
    <w:pPr>
      <w:pBdr/>
      <w:spacing w:after="100"/>
      <w:ind w:left="1540"/>
    </w:pPr>
  </w:style>
  <w:style w:type="paragraph" w:styleId="197">
    <w:name w:val="toc 9"/>
    <w:basedOn w:val="1108"/>
    <w:next w:val="1108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1109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1108"/>
    <w:next w:val="1108"/>
    <w:uiPriority w:val="99"/>
    <w:unhideWhenUsed/>
    <w:pPr>
      <w:pBdr/>
      <w:spacing w:after="0" w:afterAutospacing="0"/>
      <w:ind/>
    </w:pPr>
  </w:style>
  <w:style w:type="paragraph" w:styleId="1108" w:default="1">
    <w:name w:val="Normal"/>
    <w:qFormat/>
    <w:pPr>
      <w:pBdr/>
      <w:spacing/>
      <w:ind/>
    </w:pPr>
    <w:rPr>
      <w:rFonts w:ascii="Times New Roman" w:hAnsi="Times New Roman" w:eastAsia="Times New Roman" w:cs="Times New Roman"/>
      <w:color w:val="00000a"/>
      <w:sz w:val="24"/>
      <w:lang w:bidi="ar-SA"/>
    </w:rPr>
  </w:style>
  <w:style w:type="character" w:styleId="1109" w:default="1">
    <w:name w:val="Default Paragraph Font"/>
    <w:uiPriority w:val="1"/>
    <w:semiHidden/>
    <w:unhideWhenUsed/>
    <w:pPr>
      <w:pBdr/>
      <w:spacing/>
      <w:ind/>
    </w:pPr>
  </w:style>
  <w:style w:type="table" w:styleId="111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111" w:default="1">
    <w:name w:val="No List"/>
    <w:uiPriority w:val="99"/>
    <w:semiHidden/>
    <w:unhideWhenUsed/>
    <w:pPr>
      <w:pBdr/>
      <w:spacing/>
      <w:ind/>
    </w:pPr>
  </w:style>
  <w:style w:type="character" w:styleId="1112" w:customStyle="1">
    <w:name w:val="WW8Num1z0"/>
    <w:qFormat/>
    <w:pPr>
      <w:pBdr/>
      <w:spacing/>
      <w:ind/>
    </w:pPr>
    <w:rPr>
      <w:rFonts w:ascii="Symbol" w:hAnsi="Symbol" w:cs="Symbol"/>
    </w:rPr>
  </w:style>
  <w:style w:type="character" w:styleId="1113" w:customStyle="1">
    <w:name w:val="WW8Num1z2"/>
    <w:qFormat/>
    <w:pPr>
      <w:pBdr/>
      <w:spacing/>
      <w:ind/>
    </w:pPr>
    <w:rPr>
      <w:rFonts w:ascii="Courier New" w:hAnsi="Courier New" w:cs="Courier New"/>
    </w:rPr>
  </w:style>
  <w:style w:type="character" w:styleId="1114" w:customStyle="1">
    <w:name w:val="WW8Num1z3"/>
    <w:qFormat/>
    <w:pPr>
      <w:pBdr/>
      <w:spacing/>
      <w:ind/>
    </w:pPr>
    <w:rPr>
      <w:rFonts w:ascii="Wingdings" w:hAnsi="Wingdings" w:cs="Wingdings"/>
    </w:rPr>
  </w:style>
  <w:style w:type="character" w:styleId="1115" w:customStyle="1">
    <w:name w:val="WW8Num2z0"/>
    <w:qFormat/>
    <w:pPr>
      <w:pBdr/>
      <w:spacing/>
      <w:ind/>
    </w:pPr>
    <w:rPr>
      <w:rFonts w:ascii="Symbol" w:hAnsi="Symbol" w:cs="Symbol"/>
    </w:rPr>
  </w:style>
  <w:style w:type="character" w:styleId="1116" w:customStyle="1">
    <w:name w:val="WW8Num2z1"/>
    <w:qFormat/>
    <w:pPr>
      <w:pBdr/>
      <w:spacing/>
      <w:ind/>
    </w:pPr>
    <w:rPr>
      <w:rFonts w:ascii="Courier New" w:hAnsi="Courier New" w:cs="Arial"/>
    </w:rPr>
  </w:style>
  <w:style w:type="character" w:styleId="1117" w:customStyle="1">
    <w:name w:val="WW8Num2z2"/>
    <w:qFormat/>
    <w:pPr>
      <w:pBdr/>
      <w:spacing/>
      <w:ind/>
    </w:pPr>
    <w:rPr>
      <w:rFonts w:ascii="Wingdings" w:hAnsi="Wingdings" w:cs="Wingdings"/>
    </w:rPr>
  </w:style>
  <w:style w:type="character" w:styleId="1118" w:customStyle="1">
    <w:name w:val="Cabeçalho Char"/>
    <w:qFormat/>
    <w:pPr>
      <w:pBdr/>
      <w:spacing/>
      <w:ind/>
    </w:pPr>
    <w:rPr>
      <w:sz w:val="24"/>
      <w:szCs w:val="24"/>
    </w:rPr>
  </w:style>
  <w:style w:type="character" w:styleId="1119" w:customStyle="1">
    <w:name w:val="Rodapé Char"/>
    <w:uiPriority w:val="99"/>
    <w:qFormat/>
    <w:pPr>
      <w:pBdr/>
      <w:spacing/>
      <w:ind/>
    </w:pPr>
    <w:rPr>
      <w:sz w:val="24"/>
      <w:szCs w:val="24"/>
    </w:rPr>
  </w:style>
  <w:style w:type="character" w:styleId="1120" w:customStyle="1">
    <w:name w:val="Texto de nota de rodapé Char"/>
    <w:qFormat/>
    <w:pPr>
      <w:pBdr/>
      <w:spacing/>
      <w:ind/>
    </w:pPr>
    <w:rPr>
      <w:sz w:val="24"/>
      <w:szCs w:val="24"/>
    </w:rPr>
  </w:style>
  <w:style w:type="character" w:styleId="1121" w:customStyle="1">
    <w:name w:val="Caracteres de nota de rodapé"/>
    <w:qFormat/>
    <w:pPr>
      <w:pBdr/>
      <w:spacing/>
      <w:ind/>
    </w:pPr>
    <w:rPr>
      <w:vertAlign w:val="superscript"/>
    </w:rPr>
  </w:style>
  <w:style w:type="character" w:styleId="1122" w:customStyle="1">
    <w:name w:val="Texto de nota de fim Char"/>
    <w:qFormat/>
    <w:pPr>
      <w:pBdr/>
      <w:spacing/>
      <w:ind/>
    </w:pPr>
    <w:rPr>
      <w:sz w:val="24"/>
      <w:szCs w:val="24"/>
    </w:rPr>
  </w:style>
  <w:style w:type="character" w:styleId="1123" w:customStyle="1">
    <w:name w:val="Caracteres de nota de fim"/>
    <w:qFormat/>
    <w:pPr>
      <w:pBdr/>
      <w:spacing/>
      <w:ind/>
    </w:pPr>
    <w:rPr>
      <w:vertAlign w:val="superscript"/>
    </w:rPr>
  </w:style>
  <w:style w:type="character" w:styleId="1124">
    <w:name w:val="annotation reference"/>
    <w:qFormat/>
    <w:pPr>
      <w:pBdr/>
      <w:spacing/>
      <w:ind/>
    </w:pPr>
    <w:rPr>
      <w:sz w:val="18"/>
      <w:szCs w:val="18"/>
    </w:rPr>
  </w:style>
  <w:style w:type="character" w:styleId="1125" w:customStyle="1">
    <w:name w:val="Texto de comentário Char"/>
    <w:qFormat/>
    <w:pPr>
      <w:pBdr/>
      <w:spacing/>
      <w:ind/>
    </w:pPr>
    <w:rPr>
      <w:sz w:val="24"/>
      <w:szCs w:val="24"/>
    </w:rPr>
  </w:style>
  <w:style w:type="character" w:styleId="1126" w:customStyle="1">
    <w:name w:val="Assunto do comentário Char"/>
    <w:qFormat/>
    <w:pPr>
      <w:pBdr/>
      <w:spacing/>
      <w:ind/>
    </w:pPr>
    <w:rPr>
      <w:b/>
      <w:bCs/>
      <w:sz w:val="24"/>
      <w:szCs w:val="24"/>
    </w:rPr>
  </w:style>
  <w:style w:type="character" w:styleId="1127" w:customStyle="1">
    <w:name w:val="Texto de balão Char"/>
    <w:qFormat/>
    <w:pPr>
      <w:pBdr/>
      <w:spacing/>
      <w:ind/>
    </w:pPr>
    <w:rPr>
      <w:rFonts w:ascii="Lucida Grande;Arial" w:hAnsi="Lucida Grande;Arial" w:cs="Lucida Grande;Arial"/>
      <w:sz w:val="18"/>
      <w:szCs w:val="18"/>
    </w:rPr>
  </w:style>
  <w:style w:type="character" w:styleId="1128" w:customStyle="1">
    <w:name w:val="Corpo de texto 2 Char"/>
    <w:basedOn w:val="1109"/>
    <w:qFormat/>
    <w:pPr>
      <w:pBdr/>
      <w:spacing/>
      <w:ind/>
    </w:pPr>
  </w:style>
  <w:style w:type="paragraph" w:styleId="1129">
    <w:name w:val="Title"/>
    <w:basedOn w:val="1108"/>
    <w:next w:val="1130"/>
    <w:qFormat/>
    <w:pPr>
      <w:keepNext w:val="true"/>
      <w:pBdr/>
      <w:spacing w:after="120" w:before="240"/>
      <w:ind/>
    </w:pPr>
    <w:rPr>
      <w:rFonts w:ascii="Liberation Sans" w:hAnsi="Liberation Sans" w:eastAsia="Microsoft YaHei" w:cs="Lucida Sans"/>
      <w:sz w:val="28"/>
      <w:szCs w:val="28"/>
    </w:rPr>
  </w:style>
  <w:style w:type="paragraph" w:styleId="1130">
    <w:name w:val="Body Text"/>
    <w:basedOn w:val="1108"/>
    <w:pPr>
      <w:pBdr/>
      <w:spacing w:after="140" w:line="288" w:lineRule="auto"/>
      <w:ind/>
    </w:pPr>
  </w:style>
  <w:style w:type="paragraph" w:styleId="1131">
    <w:name w:val="List"/>
    <w:basedOn w:val="1130"/>
    <w:pPr>
      <w:pBdr/>
      <w:spacing/>
      <w:ind/>
    </w:pPr>
    <w:rPr>
      <w:rFonts w:cs="Lucida Sans"/>
    </w:rPr>
  </w:style>
  <w:style w:type="paragraph" w:styleId="1132">
    <w:name w:val="Caption"/>
    <w:basedOn w:val="1108"/>
    <w:qFormat/>
    <w:pPr>
      <w:suppressLineNumbers w:val="true"/>
      <w:pBdr/>
      <w:spacing w:after="120" w:before="120"/>
      <w:ind/>
    </w:pPr>
    <w:rPr>
      <w:rFonts w:cs="Lucida Sans"/>
      <w:i/>
      <w:iCs/>
    </w:rPr>
  </w:style>
  <w:style w:type="paragraph" w:styleId="1133" w:customStyle="1">
    <w:name w:val="Índice"/>
    <w:basedOn w:val="1108"/>
    <w:qFormat/>
    <w:pPr>
      <w:suppressLineNumbers w:val="true"/>
      <w:pBdr/>
      <w:spacing/>
      <w:ind/>
    </w:pPr>
    <w:rPr>
      <w:rFonts w:cs="Lucida Sans"/>
    </w:rPr>
  </w:style>
  <w:style w:type="paragraph" w:styleId="1134">
    <w:name w:val="Header"/>
    <w:basedOn w:val="1108"/>
    <w:pPr>
      <w:pBdr/>
      <w:tabs>
        <w:tab w:val="center" w:leader="none" w:pos="4252"/>
        <w:tab w:val="right" w:leader="none" w:pos="8504"/>
      </w:tabs>
      <w:spacing/>
      <w:ind/>
    </w:pPr>
  </w:style>
  <w:style w:type="paragraph" w:styleId="1135">
    <w:name w:val="Footer"/>
    <w:basedOn w:val="1108"/>
    <w:uiPriority w:val="99"/>
    <w:pPr>
      <w:pBdr/>
      <w:tabs>
        <w:tab w:val="center" w:leader="none" w:pos="4252"/>
        <w:tab w:val="right" w:leader="none" w:pos="8504"/>
      </w:tabs>
      <w:spacing/>
      <w:ind/>
    </w:pPr>
  </w:style>
  <w:style w:type="paragraph" w:styleId="1136">
    <w:name w:val="footnote text"/>
    <w:basedOn w:val="1108"/>
    <w:qFormat/>
    <w:pPr>
      <w:pBdr/>
      <w:spacing/>
      <w:ind/>
    </w:pPr>
  </w:style>
  <w:style w:type="paragraph" w:styleId="1137">
    <w:name w:val="endnote text"/>
    <w:basedOn w:val="1108"/>
    <w:qFormat/>
    <w:pPr>
      <w:pBdr/>
      <w:spacing/>
      <w:ind/>
    </w:pPr>
  </w:style>
  <w:style w:type="paragraph" w:styleId="1138">
    <w:name w:val="annotation text"/>
    <w:basedOn w:val="1108"/>
    <w:qFormat/>
    <w:pPr>
      <w:pBdr/>
      <w:spacing/>
      <w:ind/>
    </w:pPr>
  </w:style>
  <w:style w:type="paragraph" w:styleId="1139">
    <w:name w:val="annotation subject"/>
    <w:basedOn w:val="1138"/>
    <w:qFormat/>
    <w:pPr>
      <w:pBdr/>
      <w:spacing/>
      <w:ind/>
    </w:pPr>
    <w:rPr>
      <w:b/>
      <w:bCs/>
      <w:sz w:val="20"/>
      <w:szCs w:val="20"/>
    </w:rPr>
  </w:style>
  <w:style w:type="paragraph" w:styleId="1140">
    <w:name w:val="Balloon Text"/>
    <w:basedOn w:val="1108"/>
    <w:qFormat/>
    <w:pPr>
      <w:pBdr/>
      <w:spacing/>
      <w:ind/>
    </w:pPr>
    <w:rPr>
      <w:rFonts w:ascii="Lucida Grande;Arial" w:hAnsi="Lucida Grande;Arial" w:cs="Lucida Grande;Arial"/>
      <w:sz w:val="18"/>
      <w:szCs w:val="18"/>
    </w:rPr>
  </w:style>
  <w:style w:type="paragraph" w:styleId="1141" w:customStyle="1">
    <w:name w:val="Lista Colorida - Ênfase 11"/>
    <w:basedOn w:val="1108"/>
    <w:qFormat/>
    <w:pPr>
      <w:pBdr/>
      <w:spacing w:after="200" w:line="276" w:lineRule="auto"/>
      <w:ind w:left="720"/>
      <w:contextualSpacing w:val="true"/>
      <w:jc w:val="both"/>
    </w:pPr>
    <w:rPr>
      <w:rFonts w:ascii="Calibri" w:hAnsi="Calibri" w:eastAsia="Calibri" w:cs="Calibri"/>
      <w:sz w:val="22"/>
      <w:szCs w:val="22"/>
    </w:rPr>
  </w:style>
  <w:style w:type="paragraph" w:styleId="1142">
    <w:name w:val="Body Text 2"/>
    <w:basedOn w:val="1108"/>
    <w:qFormat/>
    <w:pPr>
      <w:pBdr/>
      <w:spacing w:after="120" w:line="480" w:lineRule="auto"/>
      <w:ind/>
    </w:pPr>
    <w:rPr>
      <w:sz w:val="20"/>
      <w:szCs w:val="20"/>
    </w:rPr>
  </w:style>
  <w:style w:type="paragraph" w:styleId="1143" w:customStyle="1">
    <w:name w:val="Conteúdo da tabela"/>
    <w:basedOn w:val="1108"/>
    <w:qFormat/>
    <w:pPr>
      <w:suppressLineNumbers w:val="true"/>
      <w:pBdr/>
      <w:spacing/>
      <w:ind/>
    </w:pPr>
  </w:style>
  <w:style w:type="paragraph" w:styleId="1144" w:customStyle="1">
    <w:name w:val="Título de tabela"/>
    <w:basedOn w:val="1143"/>
    <w:qFormat/>
    <w:pPr>
      <w:pBdr/>
      <w:spacing/>
      <w:ind/>
      <w:jc w:val="center"/>
    </w:pPr>
    <w:rPr>
      <w:b/>
      <w:bCs/>
    </w:rPr>
  </w:style>
  <w:style w:type="numbering" w:styleId="1145" w:customStyle="1">
    <w:name w:val="WW8Num1"/>
    <w:qFormat/>
    <w:pPr>
      <w:pBdr/>
      <w:spacing/>
      <w:ind/>
    </w:pPr>
  </w:style>
  <w:style w:type="numbering" w:styleId="1146" w:customStyle="1">
    <w:name w:val="WW8Num2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ATA Nº 001/09 DE REUNIÃO ORDINÁRIA DO NÚCLEO DOCENTE ESTRUTURANTE DO CURSO DE RÁDIO E TELEVISÃO, DA FACULDADE DE COMUNICAÇÃO E ARTES – FCA, DO CENTRO UNIVERSITÁRIO NOSSA SENHORA DO PATROCÍNIO - CEUNSP, REALIZADA NO DIA 19 DE JANEIRO DE 2009</dc:title>
  <dc:subject/>
  <dc:creator>FrancieleF</dc:creator>
  <dc:description/>
  <dc:language>pt-BR</dc:language>
  <cp:revision>5</cp:revision>
  <dcterms:created xsi:type="dcterms:W3CDTF">2025-07-04T14:28:00Z</dcterms:created>
  <dcterms:modified xsi:type="dcterms:W3CDTF">2026-05-12T12:14:14Z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