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77BC45EE">
      <w:pPr>
        <w:pStyle w:val="14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32"/>
        </w:rPr>
        <w:t xml:space="preserve">ATA Nº 03/25 – NDE PROCESSOS GERENCIAIS – CEUNSP </w:t>
      </w:r>
      <w:r>
        <w:rPr>
          <w:rFonts w:ascii="Times New Roman" w:hAnsi="Times New Roman" w:eastAsia="Times New Roman" w:cs="Times New Roman"/>
        </w:rPr>
      </w:r>
    </w:p>
    <w:p w14:paraId="49B30D7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223954D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ATA Nº 03/25 DE REUNIÃO DO NÚCLEO DOCENTE ESTRUTURANTE – NDE DO CURSO SUPERIOR DE TECNOLOGIA EM PROCESSOS GERENCIAIS, DO CENTRO UNIVERSITÁRIO NOSSA SENHORA DO PATROCÍNIO – CEUNSP, REALIZADA EM 04 DE AGOSTO DE 2025.</w:t>
      </w:r>
      <w:r>
        <w:rPr>
          <w:rFonts w:ascii="Times New Roman" w:hAnsi="Times New Roman" w:eastAsia="Times New Roman" w:cs="Times New Roman"/>
        </w:rPr>
      </w:r>
    </w:p>
    <w:p w14:paraId="3C63B38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1"/>
          <w:highlight w:val="none"/>
        </w:rPr>
      </w:r>
    </w:p>
    <w:p w14:paraId="4D867C3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Aos quatro dias do mês de agosto do ano de dois mil e vinte e cinco,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segunda-feira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na sala da coordenação do curso, localizada no Campus II do Centro Universitário Nossa Senhora do Patrocínio – CEUNSP, reuniram-se em sessão ordinária os membros do Núcleo Docente Estruturante (NDE) do Curso Superior de Tecnologia em Processos Gerenciais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sob a presidência do coordenador do curso,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Prof. Alex Sandro Benetti Dias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, contando com a participação dos docentes: </w:t>
      </w: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Profa. Gisele Massarani Alexandre de Carvalho; Prof. Gilmar Cardozo de Jesus; Prof. Sandro Luiz de Carvalho Neves;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Aline Fungaro Ribeiro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.</w:t>
      </w:r>
      <w:r>
        <w:rPr>
          <w:rFonts w:ascii="Times New Roman" w:hAnsi="Times New Roman" w:eastAsia="Times New Roman" w:cs="Times New Roman"/>
        </w:rPr>
      </w:r>
    </w:p>
    <w:p w14:paraId="52434F7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O coordenador iniciou a reunião agradecendo a presença de todos e apresentou a pauta:</w:t>
      </w:r>
      <w:r>
        <w:rPr>
          <w:rFonts w:ascii="Times New Roman" w:hAnsi="Times New Roman" w:eastAsia="Times New Roman" w:cs="Times New Roman"/>
        </w:rPr>
      </w:r>
    </w:p>
    <w:p w14:paraId="5171ED9D">
      <w:pPr>
        <w:pStyle w:val="165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Avaliação do processo de ensino-aprendizagem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análise dos resultados das avaliações internas e externas, com discussão de indicadores de desempenho e proposição de melhorias contínuas no processo acadêmico.</w:t>
      </w:r>
      <w:r>
        <w:rPr>
          <w:rFonts w:ascii="Times New Roman" w:hAnsi="Times New Roman" w:eastAsia="Times New Roman" w:cs="Times New Roman"/>
        </w:rPr>
      </w:r>
    </w:p>
    <w:p w14:paraId="436D3945">
      <w:pPr>
        <w:pStyle w:val="165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Referências bibliográficas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revisão e atualização das obras utilizadas no curso, visando à melhoria da qualidade do ensino e à aderência às Diretrizes Curriculares Nacionais (DCNs) e à Política Educacional Institucional.</w:t>
      </w:r>
      <w:r>
        <w:rPr>
          <w:rFonts w:ascii="Times New Roman" w:hAnsi="Times New Roman" w:eastAsia="Times New Roman" w:cs="Times New Roman"/>
        </w:rPr>
      </w:r>
    </w:p>
    <w:p w14:paraId="1E1918DB">
      <w:pPr>
        <w:pStyle w:val="165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Planos de Ensino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avaliação da coerência e articulação entre objetivos, conteúdos programáticos, metodologias e perfil profissional do egresso, destacando a importância do alinhamento pedagógico.</w:t>
      </w:r>
      <w:r>
        <w:rPr>
          <w:rFonts w:ascii="Times New Roman" w:hAnsi="Times New Roman" w:eastAsia="Times New Roman" w:cs="Times New Roman"/>
        </w:rPr>
      </w:r>
    </w:p>
    <w:p w14:paraId="014F98B8">
      <w:pPr>
        <w:pStyle w:val="165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Comissão Própria de Avaliação (CPA)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reforço quanto à relevância da participação da comunidade acadêmica nos processos avaliativos institucionais, aplicados por meio do sistema SIAA e do Blackboard, como subsídios para a gestão do curso.</w:t>
      </w:r>
      <w:r>
        <w:rPr>
          <w:rFonts w:ascii="Times New Roman" w:hAnsi="Times New Roman" w:eastAsia="Times New Roman" w:cs="Times New Roman"/>
        </w:rPr>
      </w:r>
    </w:p>
    <w:p w14:paraId="2393CC79">
      <w:pPr>
        <w:pStyle w:val="165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Palestras em comemoração ao Dia do Administrador (09 de setembro)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: discussão e planejamento de ações acadêmicas comemorativas, com proposta de realização de palestras e/ou mesa-redonda com profissionais da área de gestão e administração, visando à valorização da profissão, à integração entre teoria e prática e ao enriqu</w:t>
      </w:r>
      <w:r>
        <w:rPr>
          <w:rFonts w:ascii="Times New Roman" w:hAnsi="Times New Roman" w:eastAsia="Times New Roman" w:cs="Times New Roman"/>
          <w:color w:val="000000"/>
          <w:sz w:val="21"/>
        </w:rPr>
        <w:t xml:space="preserve">ecimento da formação acadêmica dos estudantes do curso de Processos Gerenciais.</w:t>
      </w:r>
      <w:r>
        <w:rPr>
          <w:rFonts w:ascii="Times New Roman" w:hAnsi="Times New Roman" w:eastAsia="Times New Roman" w:cs="Times New Roman"/>
        </w:rPr>
      </w:r>
    </w:p>
    <w:p w14:paraId="449981C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color w:val="000000"/>
          <w:sz w:val="21"/>
        </w:rPr>
        <w:t xml:space="preserve">Após as discussões dos pontos de pauta e não havendo outros assuntos a tratar, o coordenador encerrou a reunião, determinando a lavratura da presente ata que, após lida e aprovada, será assinada pelos presentes.</w:t>
      </w:r>
      <w:r>
        <w:rPr>
          <w:rFonts w:ascii="Times New Roman" w:hAnsi="Times New Roman" w:eastAsia="Times New Roman" w:cs="Times New Roman"/>
        </w:rPr>
      </w:r>
    </w:p>
    <w:p w14:paraId="6136D0D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CBE602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0F3E8BE3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3E9B29DA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3E42A71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5B500A7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Assinaturas: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CC62140" w14:textId="4961747C">
      <w:pPr>
        <w:pBdr/>
        <w:spacing w:line="360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4677200" w14:textId="048292CD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Alex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Sandro Benetti Dias 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73D8BAF" w14:textId="33E5A4E1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Gilmar Cardozo de Jesus 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2F6170A" w14:textId="11C95538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Gisele Massarani Alexandre de Carvalho 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47A58ED" w14:textId="0CA408EC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Sandro Luis de Carvalho Neves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DAB6C7B" w14:textId="6F66299B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Aline Fungaro Ribeiro__________________________________________________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2EB378F" w14:textId="77777777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72A3D3EC" w14:textId="2BB96AE4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993" w:right="1134" w:bottom="851" w:left="1134" w:header="709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53F17F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0CCF0E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Verdana">
    <w:panose1 w:val="020B0604030504040204"/>
  </w:font>
  <w:font w:name="Lucida Grande;Arial">
    <w:panose1 w:val="05040102010807070707"/>
  </w:font>
  <w:font w:name="Courier New">
    <w:panose1 w:val="02070309020205020404"/>
  </w:font>
  <w:font w:name="Symbol">
    <w:panose1 w:val="05050102010706020507"/>
  </w:font>
  <w:font w:name="Arial Narrow">
    <w:panose1 w:val="020B0604020202020204"/>
  </w:font>
  <w:font w:name="Microsoft YaHei">
    <w:panose1 w:val="020B0503020204020204"/>
  </w:font>
  <w:font w:name="Times New Roman">
    <w:panose1 w:val="02020603050405020304"/>
  </w:font>
  <w:font w:name="Arial">
    <w:panose1 w:val="020B0604020202020204"/>
  </w:font>
  <w:font w:name="Verdana Bold;Verdana">
    <w:panose1 w:val="020B0604030504040204"/>
  </w:font>
  <w:font w:name="SimSun">
    <w:panose1 w:val="02010600030101010101"/>
  </w:font>
  <w:font w:name="Liberation Sans">
    <w:panose1 w:val="020B0604020202020204"/>
  </w:font>
  <w:font w:name="Wingdings">
    <w:panose1 w:val="05000000000000000000"/>
  </w:font>
  <w:font w:name="Lucida Sans">
    <w:panose1 w:val="020B0602030504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97CC1D" w14:textId="77777777">
    <w:pPr>
      <w:pStyle w:val="113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14D5BA" w14:textId="4ED9175E">
    <w:pPr>
      <w:pStyle w:val="1135"/>
      <w:pBdr/>
      <w:spacing/>
      <w:ind/>
      <w:jc w:val="right"/>
      <w:rPr/>
    </w:pPr>
    <w:r/>
    <w:sdt>
      <w:sdtPr>
        <w15:appearance w15:val="boundingBox"/>
        <w:id w:val="-1390186998"/>
        <w:docPartObj>
          <w:docPartGallery w:val="Page Numbers (Top of Page)"/>
          <w:docPartUnique w:val="true"/>
        </w:docPartObj>
        <w:rPr/>
      </w:sdtPr>
      <w:sdtContent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</w:sdtContent>
    </w:sdt>
    <w:r/>
    <w:r/>
  </w:p>
  <w:p w14:paraId="3FE9F23F" w14:textId="77777777">
    <w:pPr>
      <w:pStyle w:val="113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53F1E01" w14:textId="17DB902A">
    <w:pPr>
      <w:pStyle w:val="1135"/>
      <w:pBdr/>
      <w:spacing/>
      <w:ind/>
      <w:jc w:val="right"/>
      <w:rPr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 xml:space="preserve">2</w:t>
    </w:r>
    <w:r>
      <w:rPr>
        <w:b/>
        <w:bCs/>
      </w:rPr>
      <w:fldChar w:fldCharType="end"/>
    </w:r>
    <w:r/>
  </w:p>
  <w:p w14:paraId="4B99056E" w14:textId="77777777">
    <w:pPr>
      <w:pStyle w:val="113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70C8CD8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2670B540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32" w:type="dxa"/>
      <w:tblW w:w="9370" w:type="dxa"/>
      <w:tblCellMar>
        <w:left w:w="18" w:type="dxa"/>
      </w:tblCellMar>
      <w:tblBorders>
        <w:top w:val="single" w:color="000001" w:sz="12" w:space="0"/>
        <w:left w:val="single" w:color="000001" w:sz="12" w:space="0"/>
        <w:bottom w:val="single" w:color="000001" w:sz="12" w:space="0"/>
        <w:insideH w:val="single" w:color="000001" w:sz="12" w:space="0"/>
      </w:tblBorders>
      <w:tblLook w:val="0000" w:firstRow="0" w:lastRow="0" w:firstColumn="0" w:lastColumn="0" w:noHBand="0" w:noVBand="0"/>
    </w:tblPr>
    <w:tblGrid>
      <w:gridCol w:w="1908"/>
      <w:gridCol w:w="7462"/>
    </w:tblGrid>
    <w:tr>
      <w:trPr>
        <w:trHeight w:val="1742"/>
      </w:trPr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</w:tcBorders>
          <w:tcW w:w="1908" w:type="dxa"/>
          <w:vAlign w:val="center"/>
          <w:textDirection w:val="lrTb"/>
          <w:noWrap w:val="false"/>
        </w:tcPr>
        <w:p w14:paraId="61CDCEAD" w14:textId="77777777">
          <w:pPr>
            <w:pBdr/>
            <w:spacing/>
            <w:ind/>
            <w:jc w:val="center"/>
            <w:rPr>
              <w:rFonts w:ascii="Arial" w:hAnsi="Arial" w:cs="Arial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960120" cy="960120"/>
                    <wp:effectExtent l="0" t="0" r="0" b="0"/>
                    <wp:docPr id="1" name="Figura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Figura1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960120" cy="96012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75.60pt;height:75.6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</w:rPr>
          </w:r>
        </w:p>
      </w:tc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  <w:right w:val="single" w:color="000001" w:sz="12" w:space="0"/>
          </w:tcBorders>
          <w:tcMar>
            <w:left w:w="48" w:type="dxa"/>
          </w:tcMar>
          <w:tcW w:w="7461" w:type="dxa"/>
          <w:vAlign w:val="center"/>
          <w:textDirection w:val="lrTb"/>
          <w:noWrap w:val="false"/>
        </w:tcPr>
        <w:p w14:paraId="385015A8" w14:textId="77777777">
          <w:pPr>
            <w:pBdr/>
            <w:spacing/>
            <w:ind/>
            <w:jc w:val="center"/>
            <w:rPr>
              <w:b/>
            </w:rPr>
          </w:pPr>
          <w:r>
            <w:rPr>
              <w:rFonts w:ascii="Arial Narrow" w:hAnsi="Arial Narrow" w:eastAsia="Arial Narrow" w:cs="Arial Narrow"/>
              <w:b/>
              <w:bCs/>
              <w:color w:val="0000ff"/>
              <w:sz w:val="22"/>
              <w:szCs w:val="22"/>
            </w:rPr>
            <w:t xml:space="preserve">        </w:t>
          </w:r>
          <w:r>
            <w:rPr>
              <w:b/>
              <w:bCs/>
              <w:color w:val="0000ff"/>
            </w:rPr>
            <w:t xml:space="preserve">Sociedade de Educação Nossa Senhora do Patrocínio</w:t>
          </w:r>
          <w:r>
            <w:rPr>
              <w:b/>
            </w:rPr>
          </w:r>
        </w:p>
        <w:p w14:paraId="5FD42103" w14:textId="77777777">
          <w:pPr>
            <w:pBdr/>
            <w:spacing/>
            <w:ind/>
            <w:jc w:val="center"/>
            <w:rPr>
              <w:rFonts w:ascii="Tahoma" w:hAnsi="Tahoma" w:cs="Tahoma"/>
              <w:sz w:val="28"/>
              <w:szCs w:val="28"/>
            </w:rPr>
          </w:pPr>
          <w:r>
            <w:rPr>
              <w:rFonts w:ascii="Tahoma" w:hAnsi="Tahoma" w:eastAsia="Tahoma" w:cs="Tahoma"/>
              <w:b/>
              <w:bCs/>
              <w:color w:val="0000ff"/>
              <w:sz w:val="28"/>
              <w:szCs w:val="28"/>
            </w:rPr>
            <w:t xml:space="preserve"> </w:t>
          </w:r>
          <w:r>
            <w:rPr>
              <w:rFonts w:ascii="Tahoma" w:hAnsi="Tahoma" w:cs="Tahoma"/>
              <w:b/>
              <w:bCs/>
              <w:color w:val="0000ff"/>
              <w:sz w:val="28"/>
              <w:szCs w:val="28"/>
            </w:rPr>
            <w:t xml:space="preserve">Centro Universitário Nossa Senhora do Patrocínio</w:t>
          </w:r>
          <w:r>
            <w:rPr>
              <w:rFonts w:ascii="Tahoma" w:hAnsi="Tahoma" w:cs="Tahoma"/>
              <w:sz w:val="28"/>
              <w:szCs w:val="28"/>
            </w:rPr>
          </w:r>
        </w:p>
        <w:p w14:paraId="7CDB6ADA" w14:textId="77777777"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Decreto Presidencial de 1º Jul 98 - Publicado no D.O.U. de 02 Jul 98</w:t>
          </w:r>
          <w:r>
            <w:rPr>
              <w:rFonts w:ascii="Arial" w:hAnsi="Arial" w:cs="Arial"/>
              <w:b/>
              <w:sz w:val="16"/>
              <w:szCs w:val="16"/>
            </w:rPr>
          </w:r>
        </w:p>
        <w:p w14:paraId="6BCC8D68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Rua Madre Maria Basília, 965 - Itu – SP - CEP 13300460</w:t>
          </w:r>
          <w:r>
            <w:rPr>
              <w:rFonts w:ascii="Arial" w:hAnsi="Arial" w:cs="Arial"/>
              <w:b/>
              <w:color w:val="0000ff"/>
              <w:sz w:val="16"/>
              <w:szCs w:val="16"/>
            </w:rPr>
          </w:r>
        </w:p>
        <w:p w14:paraId="6BB9E253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4"/>
              <w:szCs w:val="4"/>
            </w:rPr>
          </w:pP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</w:p>
      </w:tc>
    </w:tr>
  </w:tbl>
  <w:p w14:paraId="7411C064" w14:textId="77777777">
    <w:pPr>
      <w:pStyle w:val="1134"/>
      <w:pBdr/>
      <w:spacing/>
      <w:ind/>
      <w:jc w:val="right"/>
      <w:rPr/>
    </w:pPr>
    <w:r>
      <w:fldChar w:fldCharType="begin"/>
    </w:r>
    <w:r>
      <w:instrText xml:space="preserve">PAGE</w:instrText>
    </w:r>
    <w:r>
      <w:fldChar w:fldCharType="separate"/>
    </w:r>
    <w:r>
      <w:t xml:space="preserve">0</w:t>
    </w:r>
    <w:r>
      <w:fldChar w:fldCharType="end"/>
    </w:r>
    <w:r/>
  </w:p>
  <w:p w14:paraId="23DE523C" w14:textId="77777777">
    <w:pPr>
      <w:pStyle w:val="113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356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1"/>
      <w:gridCol w:w="3187"/>
      <w:gridCol w:w="2828"/>
    </w:tblGrid>
    <w:tr>
      <w:trPr/>
      <w:tc>
        <w:tcPr>
          <w:shd w:val="clear" w:color="auto" w:fill="auto"/>
          <w:tcBorders/>
          <w:tcW w:w="3341" w:type="dxa"/>
          <w:textDirection w:val="lrTb"/>
          <w:noWrap w:val="false"/>
        </w:tcPr>
        <w:p w14:paraId="0D0B940D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2" name="Figura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Figura2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01.80pt;height:34.9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187" w:type="dxa"/>
          <w:textDirection w:val="lrTb"/>
          <w:noWrap w:val="false"/>
        </w:tcPr>
        <w:p w14:paraId="0E27B00A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60061E4C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9099AA2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3A9E00B6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3BE040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48990EF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44EAFD9C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2828" w:type="dxa"/>
          <w:textDirection w:val="lrTb"/>
          <w:noWrap w:val="false"/>
        </w:tcPr>
        <w:p w14:paraId="4B94D5A5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626C85D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3DEEC669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0212FB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BCF041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E9E7B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6AD46FF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656B9A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85136FA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404E1B3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F42AB30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5FB0818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9F31C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12826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62486C05" w14:textId="77777777">
    <w:pPr>
      <w:pStyle w:val="1134"/>
      <w:pBdr/>
      <w:spacing/>
      <w:ind/>
      <w:rPr/>
    </w:pPr>
    <w:r/>
    <w:r/>
  </w:p>
  <w:p w14:paraId="4101652C" w14:textId="77777777">
    <w:pPr>
      <w:pStyle w:val="113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870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0"/>
      <w:gridCol w:w="3512"/>
      <w:gridCol w:w="3018"/>
    </w:tblGrid>
    <w:tr>
      <w:trPr>
        <w:trHeight w:val="2550"/>
      </w:trPr>
      <w:tc>
        <w:tcPr>
          <w:shd w:val="clear" w:color="auto" w:fill="auto"/>
          <w:tcBorders/>
          <w:tcW w:w="3340" w:type="dxa"/>
          <w:textDirection w:val="lrTb"/>
          <w:noWrap w:val="false"/>
        </w:tcPr>
        <w:p w14:paraId="1299C43A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6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rcRect l="-10" t="-31" r="-10" b="-3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width:101.80pt;height:34.95pt;mso-wrap-distance-left:0.00pt;mso-wrap-distance-top:0.00pt;mso-wrap-distance-right:0.00pt;mso-wrap-distance-bottom:0.00pt;z-index:1;" stroked="false">
                    <v:imagedata r:id="rId1" o:title="" croptop="-19f" cropleft="-6f" cropbottom="-19f" cropright="-6f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512" w:type="dxa"/>
          <w:textDirection w:val="lrTb"/>
          <w:noWrap w:val="false"/>
        </w:tcPr>
        <w:p w14:paraId="4DDBEF00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3461D779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43A90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86994C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06A1BB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648D89AC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3CF2D8B6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3018" w:type="dxa"/>
          <w:textDirection w:val="lrTb"/>
          <w:noWrap w:val="false"/>
        </w:tcPr>
        <w:p w14:paraId="0FB78278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70447822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1FC39945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01F20AF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DD76867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22AF75A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42DBDF9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562CB0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B8FED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5DAF203A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D8383C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4CE0A4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2EBF3C5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D98A12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2946DB82" w14:textId="77777777">
    <w:pPr>
      <w:pStyle w:val="11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F15F9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1">
    <w:nsid w:val="5ECA4AF8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2">
    <w:nsid w:val="30A28D67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Lucida Sans"/>
        <w:szCs w:val="24"/>
        <w:lang w:val="pt-B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1108"/>
    <w:next w:val="110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108"/>
    <w:next w:val="110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108"/>
    <w:next w:val="110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108"/>
    <w:next w:val="110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108"/>
    <w:next w:val="110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108"/>
    <w:next w:val="110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108"/>
    <w:next w:val="110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108"/>
    <w:next w:val="110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108"/>
    <w:next w:val="110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110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10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10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10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10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10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10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10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10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109"/>
    <w:link w:val="112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108"/>
    <w:next w:val="110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10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108"/>
    <w:next w:val="110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10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10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1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108"/>
    <w:next w:val="110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10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1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10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1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10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10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1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1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109"/>
    <w:link w:val="1134"/>
    <w:uiPriority w:val="99"/>
    <w:pPr>
      <w:pBdr/>
      <w:spacing/>
      <w:ind/>
    </w:pPr>
  </w:style>
  <w:style w:type="character" w:styleId="179">
    <w:name w:val="Footer Char"/>
    <w:basedOn w:val="1109"/>
    <w:link w:val="1135"/>
    <w:uiPriority w:val="99"/>
    <w:pPr>
      <w:pBdr/>
      <w:spacing/>
      <w:ind/>
    </w:pPr>
  </w:style>
  <w:style w:type="character" w:styleId="182">
    <w:name w:val="Footnote Text Char"/>
    <w:basedOn w:val="1109"/>
    <w:link w:val="1136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5">
    <w:name w:val="Endnote Text Char"/>
    <w:basedOn w:val="1109"/>
    <w:link w:val="1137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1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1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108"/>
    <w:next w:val="1108"/>
    <w:uiPriority w:val="39"/>
    <w:unhideWhenUsed/>
    <w:pPr>
      <w:pBdr/>
      <w:spacing w:after="100"/>
      <w:ind/>
    </w:pPr>
  </w:style>
  <w:style w:type="paragraph" w:styleId="190">
    <w:name w:val="toc 2"/>
    <w:basedOn w:val="1108"/>
    <w:next w:val="1108"/>
    <w:uiPriority w:val="39"/>
    <w:unhideWhenUsed/>
    <w:pPr>
      <w:pBdr/>
      <w:spacing w:after="100"/>
      <w:ind w:left="220"/>
    </w:pPr>
  </w:style>
  <w:style w:type="paragraph" w:styleId="191">
    <w:name w:val="toc 3"/>
    <w:basedOn w:val="1108"/>
    <w:next w:val="1108"/>
    <w:uiPriority w:val="39"/>
    <w:unhideWhenUsed/>
    <w:pPr>
      <w:pBdr/>
      <w:spacing w:after="100"/>
      <w:ind w:left="440"/>
    </w:pPr>
  </w:style>
  <w:style w:type="paragraph" w:styleId="192">
    <w:name w:val="toc 4"/>
    <w:basedOn w:val="1108"/>
    <w:next w:val="1108"/>
    <w:uiPriority w:val="39"/>
    <w:unhideWhenUsed/>
    <w:pPr>
      <w:pBdr/>
      <w:spacing w:after="100"/>
      <w:ind w:left="660"/>
    </w:pPr>
  </w:style>
  <w:style w:type="paragraph" w:styleId="193">
    <w:name w:val="toc 5"/>
    <w:basedOn w:val="1108"/>
    <w:next w:val="1108"/>
    <w:uiPriority w:val="39"/>
    <w:unhideWhenUsed/>
    <w:pPr>
      <w:pBdr/>
      <w:spacing w:after="100"/>
      <w:ind w:left="880"/>
    </w:pPr>
  </w:style>
  <w:style w:type="paragraph" w:styleId="194">
    <w:name w:val="toc 6"/>
    <w:basedOn w:val="1108"/>
    <w:next w:val="1108"/>
    <w:uiPriority w:val="39"/>
    <w:unhideWhenUsed/>
    <w:pPr>
      <w:pBdr/>
      <w:spacing w:after="100"/>
      <w:ind w:left="1100"/>
    </w:pPr>
  </w:style>
  <w:style w:type="paragraph" w:styleId="195">
    <w:name w:val="toc 7"/>
    <w:basedOn w:val="1108"/>
    <w:next w:val="1108"/>
    <w:uiPriority w:val="39"/>
    <w:unhideWhenUsed/>
    <w:pPr>
      <w:pBdr/>
      <w:spacing w:after="100"/>
      <w:ind w:left="1320"/>
    </w:pPr>
  </w:style>
  <w:style w:type="paragraph" w:styleId="196">
    <w:name w:val="toc 8"/>
    <w:basedOn w:val="1108"/>
    <w:next w:val="1108"/>
    <w:uiPriority w:val="39"/>
    <w:unhideWhenUsed/>
    <w:pPr>
      <w:pBdr/>
      <w:spacing w:after="100"/>
      <w:ind w:left="1540"/>
    </w:pPr>
  </w:style>
  <w:style w:type="paragraph" w:styleId="197">
    <w:name w:val="toc 9"/>
    <w:basedOn w:val="1108"/>
    <w:next w:val="110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10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108"/>
    <w:next w:val="1108"/>
    <w:uiPriority w:val="99"/>
    <w:unhideWhenUsed/>
    <w:pPr>
      <w:pBdr/>
      <w:spacing w:after="0" w:afterAutospacing="0"/>
      <w:ind/>
    </w:pPr>
  </w:style>
  <w:style w:type="paragraph" w:styleId="1108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color w:val="00000a"/>
      <w:sz w:val="24"/>
      <w:lang w:bidi="ar-SA"/>
    </w:rPr>
  </w:style>
  <w:style w:type="character" w:styleId="1109" w:default="1">
    <w:name w:val="Default Paragraph Font"/>
    <w:uiPriority w:val="1"/>
    <w:semiHidden/>
    <w:unhideWhenUsed/>
    <w:pPr>
      <w:pBdr/>
      <w:spacing/>
      <w:ind/>
    </w:pPr>
  </w:style>
  <w:style w:type="table" w:styleId="11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11" w:default="1">
    <w:name w:val="No List"/>
    <w:uiPriority w:val="99"/>
    <w:semiHidden/>
    <w:unhideWhenUsed/>
    <w:pPr>
      <w:pBdr/>
      <w:spacing/>
      <w:ind/>
    </w:pPr>
  </w:style>
  <w:style w:type="character" w:styleId="1112" w:customStyle="1">
    <w:name w:val="WW8Num1z0"/>
    <w:qFormat/>
    <w:pPr>
      <w:pBdr/>
      <w:spacing/>
      <w:ind/>
    </w:pPr>
    <w:rPr>
      <w:rFonts w:ascii="Symbol" w:hAnsi="Symbol" w:cs="Symbol"/>
    </w:rPr>
  </w:style>
  <w:style w:type="character" w:styleId="1113" w:customStyle="1">
    <w:name w:val="WW8Num1z2"/>
    <w:qFormat/>
    <w:pPr>
      <w:pBdr/>
      <w:spacing/>
      <w:ind/>
    </w:pPr>
    <w:rPr>
      <w:rFonts w:ascii="Courier New" w:hAnsi="Courier New" w:cs="Courier New"/>
    </w:rPr>
  </w:style>
  <w:style w:type="character" w:styleId="1114" w:customStyle="1">
    <w:name w:val="WW8Num1z3"/>
    <w:qFormat/>
    <w:pPr>
      <w:pBdr/>
      <w:spacing/>
      <w:ind/>
    </w:pPr>
    <w:rPr>
      <w:rFonts w:ascii="Wingdings" w:hAnsi="Wingdings" w:cs="Wingdings"/>
    </w:rPr>
  </w:style>
  <w:style w:type="character" w:styleId="1115" w:customStyle="1">
    <w:name w:val="WW8Num2z0"/>
    <w:qFormat/>
    <w:pPr>
      <w:pBdr/>
      <w:spacing/>
      <w:ind/>
    </w:pPr>
    <w:rPr>
      <w:rFonts w:ascii="Symbol" w:hAnsi="Symbol" w:cs="Symbol"/>
    </w:rPr>
  </w:style>
  <w:style w:type="character" w:styleId="1116" w:customStyle="1">
    <w:name w:val="WW8Num2z1"/>
    <w:qFormat/>
    <w:pPr>
      <w:pBdr/>
      <w:spacing/>
      <w:ind/>
    </w:pPr>
    <w:rPr>
      <w:rFonts w:ascii="Courier New" w:hAnsi="Courier New" w:cs="Arial"/>
    </w:rPr>
  </w:style>
  <w:style w:type="character" w:styleId="1117" w:customStyle="1">
    <w:name w:val="WW8Num2z2"/>
    <w:qFormat/>
    <w:pPr>
      <w:pBdr/>
      <w:spacing/>
      <w:ind/>
    </w:pPr>
    <w:rPr>
      <w:rFonts w:ascii="Wingdings" w:hAnsi="Wingdings" w:cs="Wingdings"/>
    </w:rPr>
  </w:style>
  <w:style w:type="character" w:styleId="1118" w:customStyle="1">
    <w:name w:val="Cabeçalho Char"/>
    <w:qFormat/>
    <w:pPr>
      <w:pBdr/>
      <w:spacing/>
      <w:ind/>
    </w:pPr>
    <w:rPr>
      <w:sz w:val="24"/>
      <w:szCs w:val="24"/>
    </w:rPr>
  </w:style>
  <w:style w:type="character" w:styleId="1119" w:customStyle="1">
    <w:name w:val="Rodapé Char"/>
    <w:uiPriority w:val="99"/>
    <w:qFormat/>
    <w:pPr>
      <w:pBdr/>
      <w:spacing/>
      <w:ind/>
    </w:pPr>
    <w:rPr>
      <w:sz w:val="24"/>
      <w:szCs w:val="24"/>
    </w:rPr>
  </w:style>
  <w:style w:type="character" w:styleId="1120" w:customStyle="1">
    <w:name w:val="Texto de nota de rodapé Char"/>
    <w:qFormat/>
    <w:pPr>
      <w:pBdr/>
      <w:spacing/>
      <w:ind/>
    </w:pPr>
    <w:rPr>
      <w:sz w:val="24"/>
      <w:szCs w:val="24"/>
    </w:rPr>
  </w:style>
  <w:style w:type="character" w:styleId="1121" w:customStyle="1">
    <w:name w:val="Caracteres de nota de rodapé"/>
    <w:qFormat/>
    <w:pPr>
      <w:pBdr/>
      <w:spacing/>
      <w:ind/>
    </w:pPr>
    <w:rPr>
      <w:vertAlign w:val="superscript"/>
    </w:rPr>
  </w:style>
  <w:style w:type="character" w:styleId="1122" w:customStyle="1">
    <w:name w:val="Texto de nota de fim Char"/>
    <w:qFormat/>
    <w:pPr>
      <w:pBdr/>
      <w:spacing/>
      <w:ind/>
    </w:pPr>
    <w:rPr>
      <w:sz w:val="24"/>
      <w:szCs w:val="24"/>
    </w:rPr>
  </w:style>
  <w:style w:type="character" w:styleId="1123" w:customStyle="1">
    <w:name w:val="Caracteres de nota de fim"/>
    <w:qFormat/>
    <w:pPr>
      <w:pBdr/>
      <w:spacing/>
      <w:ind/>
    </w:pPr>
    <w:rPr>
      <w:vertAlign w:val="superscript"/>
    </w:rPr>
  </w:style>
  <w:style w:type="character" w:styleId="1124">
    <w:name w:val="annotation reference"/>
    <w:qFormat/>
    <w:pPr>
      <w:pBdr/>
      <w:spacing/>
      <w:ind/>
    </w:pPr>
    <w:rPr>
      <w:sz w:val="18"/>
      <w:szCs w:val="18"/>
    </w:rPr>
  </w:style>
  <w:style w:type="character" w:styleId="1125" w:customStyle="1">
    <w:name w:val="Texto de comentário Char"/>
    <w:qFormat/>
    <w:pPr>
      <w:pBdr/>
      <w:spacing/>
      <w:ind/>
    </w:pPr>
    <w:rPr>
      <w:sz w:val="24"/>
      <w:szCs w:val="24"/>
    </w:rPr>
  </w:style>
  <w:style w:type="character" w:styleId="1126" w:customStyle="1">
    <w:name w:val="Assunto do comentário Char"/>
    <w:qFormat/>
    <w:pPr>
      <w:pBdr/>
      <w:spacing/>
      <w:ind/>
    </w:pPr>
    <w:rPr>
      <w:b/>
      <w:bCs/>
      <w:sz w:val="24"/>
      <w:szCs w:val="24"/>
    </w:rPr>
  </w:style>
  <w:style w:type="character" w:styleId="1127" w:customStyle="1">
    <w:name w:val="Texto de balão Char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character" w:styleId="1128" w:customStyle="1">
    <w:name w:val="Corpo de texto 2 Char"/>
    <w:basedOn w:val="1109"/>
    <w:qFormat/>
    <w:pPr>
      <w:pBdr/>
      <w:spacing/>
      <w:ind/>
    </w:pPr>
  </w:style>
  <w:style w:type="paragraph" w:styleId="1129">
    <w:name w:val="Title"/>
    <w:basedOn w:val="1108"/>
    <w:next w:val="1130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30">
    <w:name w:val="Body Text"/>
    <w:basedOn w:val="1108"/>
    <w:pPr>
      <w:pBdr/>
      <w:spacing w:after="140" w:line="288" w:lineRule="auto"/>
      <w:ind/>
    </w:pPr>
  </w:style>
  <w:style w:type="paragraph" w:styleId="1131">
    <w:name w:val="List"/>
    <w:basedOn w:val="1130"/>
    <w:pPr>
      <w:pBdr/>
      <w:spacing/>
      <w:ind/>
    </w:pPr>
    <w:rPr>
      <w:rFonts w:cs="Lucida Sans"/>
    </w:rPr>
  </w:style>
  <w:style w:type="paragraph" w:styleId="1132">
    <w:name w:val="Caption"/>
    <w:basedOn w:val="1108"/>
    <w:qFormat/>
    <w:pPr>
      <w:suppressLineNumbers w:val="true"/>
      <w:pBdr/>
      <w:spacing w:after="120" w:before="120"/>
      <w:ind/>
    </w:pPr>
    <w:rPr>
      <w:rFonts w:cs="Lucida Sans"/>
      <w:i/>
      <w:iCs/>
    </w:rPr>
  </w:style>
  <w:style w:type="paragraph" w:styleId="1133" w:customStyle="1">
    <w:name w:val="Índice"/>
    <w:basedOn w:val="1108"/>
    <w:qFormat/>
    <w:pPr>
      <w:suppressLineNumbers w:val="true"/>
      <w:pBdr/>
      <w:spacing/>
      <w:ind/>
    </w:pPr>
    <w:rPr>
      <w:rFonts w:cs="Lucida Sans"/>
    </w:rPr>
  </w:style>
  <w:style w:type="paragraph" w:styleId="1134">
    <w:name w:val="Header"/>
    <w:basedOn w:val="1108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5">
    <w:name w:val="Footer"/>
    <w:basedOn w:val="1108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6">
    <w:name w:val="footnote text"/>
    <w:basedOn w:val="1108"/>
    <w:qFormat/>
    <w:pPr>
      <w:pBdr/>
      <w:spacing/>
      <w:ind/>
    </w:pPr>
  </w:style>
  <w:style w:type="paragraph" w:styleId="1137">
    <w:name w:val="endnote text"/>
    <w:basedOn w:val="1108"/>
    <w:qFormat/>
    <w:pPr>
      <w:pBdr/>
      <w:spacing/>
      <w:ind/>
    </w:pPr>
  </w:style>
  <w:style w:type="paragraph" w:styleId="1138">
    <w:name w:val="annotation text"/>
    <w:basedOn w:val="1108"/>
    <w:qFormat/>
    <w:pPr>
      <w:pBdr/>
      <w:spacing/>
      <w:ind/>
    </w:pPr>
  </w:style>
  <w:style w:type="paragraph" w:styleId="1139">
    <w:name w:val="annotation subject"/>
    <w:basedOn w:val="1138"/>
    <w:qFormat/>
    <w:pPr>
      <w:pBdr/>
      <w:spacing/>
      <w:ind/>
    </w:pPr>
    <w:rPr>
      <w:b/>
      <w:bCs/>
      <w:sz w:val="20"/>
      <w:szCs w:val="20"/>
    </w:rPr>
  </w:style>
  <w:style w:type="paragraph" w:styleId="1140">
    <w:name w:val="Balloon Text"/>
    <w:basedOn w:val="1108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paragraph" w:styleId="1141" w:customStyle="1">
    <w:name w:val="Lista Colorida - Ênfase 11"/>
    <w:basedOn w:val="1108"/>
    <w:qFormat/>
    <w:pPr>
      <w:pBdr/>
      <w:spacing w:after="200" w:line="276" w:lineRule="auto"/>
      <w:ind w:left="720"/>
      <w:contextualSpacing w:val="true"/>
      <w:jc w:val="both"/>
    </w:pPr>
    <w:rPr>
      <w:rFonts w:ascii="Calibri" w:hAnsi="Calibri" w:eastAsia="Calibri" w:cs="Calibri"/>
      <w:sz w:val="22"/>
      <w:szCs w:val="22"/>
    </w:rPr>
  </w:style>
  <w:style w:type="paragraph" w:styleId="1142">
    <w:name w:val="Body Text 2"/>
    <w:basedOn w:val="1108"/>
    <w:qFormat/>
    <w:pPr>
      <w:pBdr/>
      <w:spacing w:after="120" w:line="480" w:lineRule="auto"/>
      <w:ind/>
    </w:pPr>
    <w:rPr>
      <w:sz w:val="20"/>
      <w:szCs w:val="20"/>
    </w:rPr>
  </w:style>
  <w:style w:type="paragraph" w:styleId="1143" w:customStyle="1">
    <w:name w:val="Conteúdo da tabela"/>
    <w:basedOn w:val="1108"/>
    <w:qFormat/>
    <w:pPr>
      <w:suppressLineNumbers w:val="true"/>
      <w:pBdr/>
      <w:spacing/>
      <w:ind/>
    </w:pPr>
  </w:style>
  <w:style w:type="paragraph" w:styleId="1144" w:customStyle="1">
    <w:name w:val="Título de tabela"/>
    <w:basedOn w:val="1143"/>
    <w:qFormat/>
    <w:pPr>
      <w:pBdr/>
      <w:spacing/>
      <w:ind/>
      <w:jc w:val="center"/>
    </w:pPr>
    <w:rPr>
      <w:b/>
      <w:bCs/>
    </w:rPr>
  </w:style>
  <w:style w:type="numbering" w:styleId="1145" w:customStyle="1">
    <w:name w:val="WW8Num1"/>
    <w:qFormat/>
    <w:pPr>
      <w:pBdr/>
      <w:spacing/>
      <w:ind/>
    </w:pPr>
  </w:style>
  <w:style w:type="numbering" w:styleId="1146" w:customStyle="1">
    <w:name w:val="WW8Num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Nº 001/09 DE REUNIÃO ORDINÁRIA DO NÚCLEO DOCENTE ESTRUTURANTE DO CURSO DE RÁDIO E TELEVISÃO, DA FACULDADE DE COMUNICAÇÃO E ARTES – FCA, DO CENTRO UNIVERSITÁRIO NOSSA SENHORA DO PATROCÍNIO - CEUNSP, REALIZADA NO DIA 19 DE JANEIRO DE 2009</dc:title>
  <dc:subject/>
  <dc:creator>FrancieleF</dc:creator>
  <dc:description/>
  <dc:language>pt-BR</dc:language>
  <cp:revision>5</cp:revision>
  <dcterms:created xsi:type="dcterms:W3CDTF">2025-07-04T14:28:00Z</dcterms:created>
  <dcterms:modified xsi:type="dcterms:W3CDTF">2026-05-12T11:48:09Z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