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 w14:paraId="5A48526E">
      <w:pPr>
        <w:pStyle w:val="14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 w:firstLine="0"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b/>
          <w:color w:val="000000"/>
          <w:sz w:val="32"/>
        </w:rPr>
        <w:t xml:space="preserve">ATA Nº 01/25 – NDE PROCESSOS GERENCIAIS – CEUNSP</w:t>
      </w:r>
      <w:r>
        <w:rPr>
          <w:rFonts w:ascii="Times New Roman" w:hAnsi="Times New Roman" w:eastAsia="Times New Roman" w:cs="Times New Roman"/>
        </w:rPr>
      </w:r>
    </w:p>
    <w:p w14:paraId="1A3447EE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 w:firstLine="0"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b/>
          <w:color w:val="000000"/>
          <w:sz w:val="21"/>
        </w:rPr>
        <w:t xml:space="preserve">ATA Nº 01/25 DE REUNIÃO DO NÚCLEO DOCENTE ESTRUTURANTE – NDE DO CURSO SUPERIOR DE TECNOLOGIA EM PROCESSOS GERENCIAIS, DO CENTRO UNIVERSITÁRIO NOSSA SENHORA DO PATROCÍNIO – CEUNSP, REALIZADA EM 19 DE FEVEREIRO DE 2025.</w:t>
      </w:r>
      <w:r>
        <w:rPr>
          <w:rFonts w:ascii="Times New Roman" w:hAnsi="Times New Roman" w:eastAsia="Times New Roman" w:cs="Times New Roman"/>
        </w:rPr>
      </w:r>
    </w:p>
    <w:p w14:paraId="10132D86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 w:firstLine="0" w:left="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color w:val="000000"/>
          <w:sz w:val="21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1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1"/>
          <w:highlight w:val="none"/>
        </w:rPr>
      </w:r>
    </w:p>
    <w:p w14:paraId="6F6A6BE6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 w:firstLine="0" w:left="0"/>
        <w:jc w:val="both"/>
        <w:rPr>
          <w:rFonts w:ascii="Times New Roman" w:hAnsi="Times New Roman" w:eastAsia="Times New Roman" w:cs="Times New Roman"/>
          <w:color w:val="000000"/>
          <w:sz w:val="21"/>
          <w:szCs w:val="21"/>
          <w:highlight w:val="none"/>
        </w:rPr>
      </w:pPr>
      <w:r>
        <w:rPr>
          <w:rFonts w:ascii="Times New Roman" w:hAnsi="Times New Roman" w:eastAsia="Times New Roman" w:cs="Times New Roman"/>
          <w:color w:val="000000"/>
          <w:sz w:val="21"/>
        </w:rPr>
        <w:t xml:space="preserve">Aos dezenove dias do mês de fevereiro do ano de dois mil e vinte e cinco, </w:t>
      </w:r>
      <w:r>
        <w:rPr>
          <w:rFonts w:ascii="Times New Roman" w:hAnsi="Times New Roman" w:eastAsia="Times New Roman" w:cs="Times New Roman"/>
          <w:b/>
          <w:color w:val="000000"/>
          <w:sz w:val="21"/>
        </w:rPr>
        <w:t xml:space="preserve">quarta-feira</w:t>
      </w:r>
      <w:r>
        <w:rPr>
          <w:rFonts w:ascii="Times New Roman" w:hAnsi="Times New Roman" w:eastAsia="Times New Roman" w:cs="Times New Roman"/>
          <w:color w:val="000000"/>
          <w:sz w:val="21"/>
        </w:rPr>
        <w:t xml:space="preserve">, na sala da coordenação do curso, localizada no Campus II do Centro Universitário Nossa Senhora do Patrocínio – CEUNSP, reuniram-se em sessão ordinária os membros do Núcleo Docente Estruturante (NDE) do Curso Superior de Tecnologia em Processos Gerenciais</w:t>
      </w:r>
      <w:r>
        <w:rPr>
          <w:rFonts w:ascii="Times New Roman" w:hAnsi="Times New Roman" w:eastAsia="Times New Roman" w:cs="Times New Roman"/>
          <w:color w:val="000000"/>
          <w:sz w:val="21"/>
        </w:rPr>
        <w:t xml:space="preserve">, sob a presidência do coordenador do curso, </w:t>
      </w:r>
      <w:r>
        <w:rPr>
          <w:rFonts w:ascii="Times New Roman" w:hAnsi="Times New Roman" w:eastAsia="Times New Roman" w:cs="Times New Roman"/>
          <w:b/>
          <w:color w:val="000000"/>
          <w:sz w:val="21"/>
        </w:rPr>
        <w:t xml:space="preserve">Prof. Alex Sandro Benetti Dias</w:t>
      </w:r>
      <w:r>
        <w:rPr>
          <w:rFonts w:ascii="Times New Roman" w:hAnsi="Times New Roman" w:eastAsia="Times New Roman" w:cs="Times New Roman"/>
          <w:color w:val="000000"/>
          <w:sz w:val="21"/>
        </w:rPr>
        <w:t xml:space="preserve">, contando com a participação dos docentes: </w:t>
      </w:r>
      <w:r>
        <w:rPr>
          <w:rFonts w:ascii="Times New Roman" w:hAnsi="Times New Roman" w:eastAsia="Times New Roman" w:cs="Times New Roman"/>
          <w:b/>
          <w:color w:val="000000"/>
          <w:sz w:val="21"/>
        </w:rPr>
        <w:t xml:space="preserve">Profa. Gisele Massarani Alexandre de Carvalho; Prof. Gilmar Cardozo de Jesus; Prof. Sandro Luiz de Carvalho Neves; </w:t>
      </w:r>
      <w:r>
        <w:rPr>
          <w:b/>
          <w:bCs/>
        </w:rPr>
        <w:t xml:space="preserve">Profa. Juliana</w:t>
      </w:r>
      <w:r>
        <w:rPr>
          <w:b/>
          <w:bCs/>
        </w:rPr>
        <w:t xml:space="preserve"> Aline Fungaro Ribeiro</w:t>
      </w:r>
      <w:r>
        <w:rPr>
          <w:rFonts w:ascii="Times New Roman" w:hAnsi="Times New Roman" w:eastAsia="Times New Roman" w:cs="Times New Roman"/>
          <w:color w:val="000000"/>
          <w:sz w:val="21"/>
        </w:rPr>
        <w:t xml:space="preserve">.</w:t>
      </w:r>
      <w:r>
        <w:rPr>
          <w:rFonts w:ascii="Times New Roman" w:hAnsi="Times New Roman" w:eastAsia="Times New Roman" w:cs="Times New Roman"/>
        </w:rPr>
      </w:r>
    </w:p>
    <w:p w14:paraId="79B4BD72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 w:firstLine="0"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color w:val="000000"/>
          <w:sz w:val="21"/>
        </w:rPr>
        <w:t xml:space="preserve">O coordenador iniciou a reunião agradecendo a presença de todos e apresentou a pauta:</w:t>
      </w:r>
      <w:r>
        <w:rPr>
          <w:rFonts w:ascii="Times New Roman" w:hAnsi="Times New Roman" w:eastAsia="Times New Roman" w:cs="Times New Roman"/>
        </w:rPr>
      </w:r>
    </w:p>
    <w:p w14:paraId="728D13C8">
      <w:pPr>
        <w:pStyle w:val="165"/>
        <w:numPr>
          <w:ilvl w:val="0"/>
          <w:numId w:val="1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b/>
          <w:color w:val="000000"/>
          <w:sz w:val="21"/>
        </w:rPr>
        <w:t xml:space="preserve">Início do semestre letivo de 2025</w:t>
      </w:r>
      <w:r>
        <w:rPr>
          <w:rFonts w:ascii="Times New Roman" w:hAnsi="Times New Roman" w:eastAsia="Times New Roman" w:cs="Times New Roman"/>
          <w:color w:val="000000"/>
          <w:sz w:val="21"/>
        </w:rPr>
        <w:t xml:space="preserve">: alinhamento das atividades teóricas e práticas, reforçando a utilização de metodologias ativas no processo de ensino-aprendizagem e a consolidação da curricularização da extensão conforme as normativas do MEC.</w:t>
      </w:r>
      <w:r>
        <w:rPr>
          <w:rFonts w:ascii="Times New Roman" w:hAnsi="Times New Roman" w:eastAsia="Times New Roman" w:cs="Times New Roman"/>
        </w:rPr>
      </w:r>
    </w:p>
    <w:p w14:paraId="492AF998">
      <w:pPr>
        <w:pStyle w:val="165"/>
        <w:numPr>
          <w:ilvl w:val="0"/>
          <w:numId w:val="1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b/>
          <w:color w:val="000000"/>
          <w:sz w:val="21"/>
        </w:rPr>
        <w:t xml:space="preserve">Semana de Integração</w:t>
      </w:r>
      <w:r>
        <w:rPr>
          <w:rFonts w:ascii="Times New Roman" w:hAnsi="Times New Roman" w:eastAsia="Times New Roman" w:cs="Times New Roman"/>
          <w:color w:val="000000"/>
          <w:sz w:val="21"/>
        </w:rPr>
        <w:t xml:space="preserve">: planejamento da recepção de calouros e veteranos, bem como a organização da Semana de Integração e do ciclo de palestras institucionais para o primeiro e segundo semestres.</w:t>
      </w:r>
      <w:r>
        <w:rPr>
          <w:rFonts w:ascii="Times New Roman" w:hAnsi="Times New Roman" w:eastAsia="Times New Roman" w:cs="Times New Roman"/>
        </w:rPr>
      </w:r>
    </w:p>
    <w:p w14:paraId="6960EBAF">
      <w:pPr>
        <w:pStyle w:val="165"/>
        <w:numPr>
          <w:ilvl w:val="0"/>
          <w:numId w:val="1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b/>
          <w:color w:val="000000"/>
          <w:sz w:val="21"/>
        </w:rPr>
        <w:t xml:space="preserve">Projeto Pedagógico do Curso (PPC)</w:t>
      </w:r>
      <w:r>
        <w:rPr>
          <w:rFonts w:ascii="Times New Roman" w:hAnsi="Times New Roman" w:eastAsia="Times New Roman" w:cs="Times New Roman"/>
          <w:color w:val="000000"/>
          <w:sz w:val="21"/>
        </w:rPr>
        <w:t xml:space="preserve">: continuidade das contribuições do NDE para atualização e adequação dos componentes curriculares, observando as Diretrizes Curriculares Nacionais (DCNs) e a Política Educacional Institucional.</w:t>
      </w:r>
      <w:r>
        <w:rPr>
          <w:rFonts w:ascii="Times New Roman" w:hAnsi="Times New Roman" w:eastAsia="Times New Roman" w:cs="Times New Roman"/>
        </w:rPr>
      </w:r>
    </w:p>
    <w:p w14:paraId="4372F8C6">
      <w:pPr>
        <w:pStyle w:val="165"/>
        <w:numPr>
          <w:ilvl w:val="0"/>
          <w:numId w:val="1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b/>
          <w:color w:val="000000"/>
          <w:sz w:val="21"/>
        </w:rPr>
        <w:t xml:space="preserve">Referências Bibliográficas</w:t>
      </w:r>
      <w:r>
        <w:rPr>
          <w:rFonts w:ascii="Times New Roman" w:hAnsi="Times New Roman" w:eastAsia="Times New Roman" w:cs="Times New Roman"/>
          <w:color w:val="000000"/>
          <w:sz w:val="21"/>
        </w:rPr>
        <w:t xml:space="preserve">: discussão sobre a necessidade de atualização do acervo bibliográfico físico e digital, visando à melhoria da qualidade acadêmica do curso.</w:t>
      </w:r>
      <w:r>
        <w:rPr>
          <w:rFonts w:ascii="Times New Roman" w:hAnsi="Times New Roman" w:eastAsia="Times New Roman" w:cs="Times New Roman"/>
        </w:rPr>
      </w:r>
    </w:p>
    <w:p w14:paraId="3A946721">
      <w:pPr>
        <w:pStyle w:val="165"/>
        <w:numPr>
          <w:ilvl w:val="0"/>
          <w:numId w:val="1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b/>
          <w:color w:val="000000"/>
          <w:sz w:val="21"/>
        </w:rPr>
        <w:t xml:space="preserve">Planos de Ensino</w:t>
      </w:r>
      <w:r>
        <w:rPr>
          <w:rFonts w:ascii="Times New Roman" w:hAnsi="Times New Roman" w:eastAsia="Times New Roman" w:cs="Times New Roman"/>
          <w:color w:val="000000"/>
          <w:sz w:val="21"/>
        </w:rPr>
        <w:t xml:space="preserve">: análise da articulação entre objetivos, conteúdos programáticos e perfil do egresso, incentivando iniciativas de pesquisa, extensão e projetos interdisciplinares.</w:t>
      </w:r>
      <w:r>
        <w:rPr>
          <w:rFonts w:ascii="Times New Roman" w:hAnsi="Times New Roman" w:eastAsia="Times New Roman" w:cs="Times New Roman"/>
        </w:rPr>
      </w:r>
    </w:p>
    <w:p w14:paraId="0C193AEB">
      <w:pPr>
        <w:pStyle w:val="165"/>
        <w:numPr>
          <w:ilvl w:val="0"/>
          <w:numId w:val="1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b/>
          <w:color w:val="000000"/>
          <w:sz w:val="21"/>
        </w:rPr>
        <w:t xml:space="preserve">Comissão Própria de Avaliação (CPA)</w:t>
      </w:r>
      <w:r>
        <w:rPr>
          <w:rFonts w:ascii="Times New Roman" w:hAnsi="Times New Roman" w:eastAsia="Times New Roman" w:cs="Times New Roman"/>
          <w:color w:val="000000"/>
          <w:sz w:val="21"/>
        </w:rPr>
        <w:t xml:space="preserve">: reforço da importância da participação da comunidade acadêmica nas avaliações institucionais aplicadas via SIAA e Blackboard.</w:t>
      </w:r>
      <w:r>
        <w:rPr>
          <w:rFonts w:ascii="Times New Roman" w:hAnsi="Times New Roman" w:eastAsia="Times New Roman" w:cs="Times New Roman"/>
        </w:rPr>
      </w:r>
    </w:p>
    <w:p w14:paraId="650BB2A7">
      <w:pPr>
        <w:pStyle w:val="165"/>
        <w:numPr>
          <w:ilvl w:val="0"/>
          <w:numId w:val="1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b/>
          <w:color w:val="000000"/>
          <w:sz w:val="21"/>
        </w:rPr>
        <w:t xml:space="preserve">Metodologias Ativas e TICs</w:t>
      </w:r>
      <w:r>
        <w:rPr>
          <w:rFonts w:ascii="Times New Roman" w:hAnsi="Times New Roman" w:eastAsia="Times New Roman" w:cs="Times New Roman"/>
          <w:color w:val="000000"/>
          <w:sz w:val="21"/>
        </w:rPr>
        <w:t xml:space="preserve">: incentivo à utilização de tecnologias educacionais e estratégias inovadoras no processo de ensino.</w:t>
      </w:r>
      <w:r>
        <w:rPr>
          <w:rFonts w:ascii="Times New Roman" w:hAnsi="Times New Roman" w:eastAsia="Times New Roman" w:cs="Times New Roman"/>
        </w:rPr>
      </w:r>
    </w:p>
    <w:p w14:paraId="58589062">
      <w:pPr>
        <w:pStyle w:val="165"/>
        <w:numPr>
          <w:ilvl w:val="0"/>
          <w:numId w:val="1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b/>
          <w:color w:val="000000"/>
          <w:sz w:val="21"/>
        </w:rPr>
        <w:t xml:space="preserve">Organização das aulas práticas</w:t>
      </w:r>
      <w:r>
        <w:rPr>
          <w:rFonts w:ascii="Times New Roman" w:hAnsi="Times New Roman" w:eastAsia="Times New Roman" w:cs="Times New Roman"/>
          <w:color w:val="000000"/>
          <w:sz w:val="21"/>
        </w:rPr>
        <w:t xml:space="preserve">: definição de critérios e prazos para o agendamento das atividades práticas nos laboratórios.</w:t>
      </w:r>
      <w:r>
        <w:rPr>
          <w:rFonts w:ascii="Times New Roman" w:hAnsi="Times New Roman" w:eastAsia="Times New Roman" w:cs="Times New Roman"/>
        </w:rPr>
      </w:r>
    </w:p>
    <w:p w14:paraId="0B45606C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 w:firstLine="0"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color w:val="000000"/>
          <w:sz w:val="21"/>
        </w:rPr>
        <w:t xml:space="preserve">Nada mais havendo a tratar, o coordenador encerrou a reunião, determinando a lavratura da presente ata que, após lida e aprovada, será assinada por todos os presentes.</w:t>
      </w:r>
      <w:r>
        <w:rPr>
          <w:rFonts w:ascii="Times New Roman" w:hAnsi="Times New Roman" w:eastAsia="Times New Roman" w:cs="Times New Roman"/>
        </w:rPr>
      </w:r>
    </w:p>
    <w:p w14:paraId="129FECE2" w14:textId="77777777">
      <w:pPr>
        <w:pBdr/>
        <w:spacing w:line="360" w:lineRule="auto"/>
        <w:ind w:right="11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 w14:paraId="7CC62140" w14:textId="4961747C">
      <w:pPr>
        <w:pBdr/>
        <w:spacing w:line="360" w:lineRule="auto"/>
        <w:ind w:right="11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Assinaturas:</w:t>
      </w:r>
      <w:r>
        <w:rPr>
          <w:rFonts w:ascii="Times New Roman" w:hAnsi="Times New Roman" w:eastAsia="Times New Roman" w:cs="Times New Roman"/>
        </w:rPr>
      </w:r>
    </w:p>
    <w:p w14:paraId="54677200" w14:textId="048292CD">
      <w:pPr>
        <w:pBdr/>
        <w:spacing w:line="360" w:lineRule="auto"/>
        <w:ind/>
        <w:rPr/>
      </w:pPr>
      <w:r>
        <w:t xml:space="preserve">Prof. Alex</w:t>
      </w:r>
      <w:r>
        <w:t xml:space="preserve"> Sandro Benetti Dias ______________________________________</w:t>
      </w:r>
      <w:r>
        <w:t xml:space="preserve">______________</w:t>
      </w:r>
      <w:r>
        <w:t xml:space="preserve">__</w:t>
      </w:r>
      <w:r/>
    </w:p>
    <w:p w14:paraId="373D8BAF" w14:textId="33E5A4E1">
      <w:pPr>
        <w:pBdr/>
        <w:spacing w:line="360" w:lineRule="auto"/>
        <w:ind/>
        <w:rPr/>
      </w:pPr>
      <w:r>
        <w:t xml:space="preserve">Prof. Gilmar Cardozo de Jesus _______________________________________________________</w:t>
      </w:r>
      <w:r/>
    </w:p>
    <w:p w14:paraId="62F6170A" w14:textId="11C95538">
      <w:pPr>
        <w:pBdr/>
        <w:spacing w:line="360" w:lineRule="auto"/>
        <w:ind/>
        <w:rPr/>
      </w:pPr>
      <w:r>
        <w:t xml:space="preserve">Profa. Gisele Massarani Alexandre de Carvalho _________________________________________</w:t>
      </w:r>
      <w:r/>
    </w:p>
    <w:p w14:paraId="647A58ED" w14:textId="0CA408EC">
      <w:pPr>
        <w:pBdr/>
        <w:spacing w:line="360" w:lineRule="auto"/>
        <w:ind/>
        <w:rPr/>
      </w:pPr>
      <w:r>
        <w:t xml:space="preserve">Prof. Sandro Luis de Carvalho Neves</w:t>
      </w:r>
      <w:r>
        <w:t xml:space="preserve">_________________________________________________</w:t>
      </w:r>
      <w:r>
        <w:t xml:space="preserve">_</w:t>
      </w:r>
      <w:r/>
    </w:p>
    <w:p w14:paraId="5DAB6C7B" w14:textId="6F66299B">
      <w:pPr>
        <w:pBdr/>
        <w:spacing w:line="360" w:lineRule="auto"/>
        <w:ind/>
        <w:rPr/>
      </w:pPr>
      <w:r>
        <w:t xml:space="preserve">Profa. Juliana</w:t>
      </w:r>
      <w:r>
        <w:t xml:space="preserve"> Aline Fungaro Ribeiro__________________________________________________</w:t>
      </w:r>
      <w:r/>
    </w:p>
    <w:p w14:paraId="02EB378F" w14:textId="77777777">
      <w:pPr>
        <w:pBdr/>
        <w:spacing w:line="360" w:lineRule="auto"/>
        <w:ind/>
        <w:jc w:val="center"/>
        <w:rPr/>
      </w:pPr>
      <w:r/>
      <w:r/>
    </w:p>
    <w:p w14:paraId="72A3D3EC" w14:textId="2BB96AE4">
      <w:pPr>
        <w:pBdr/>
        <w:spacing w:line="360" w:lineRule="auto"/>
        <w:ind/>
        <w:rPr/>
      </w:pPr>
      <w:r/>
      <w:r/>
    </w:p>
    <w:sectPr>
      <w:headerReference w:type="default" r:id="rId9"/>
      <w:headerReference w:type="even" r:id="rId10"/>
      <w:headerReference w:type="first" r:id="rId11"/>
      <w:footerReference w:type="default" r:id="rId12"/>
      <w:footerReference w:type="even" r:id="rId13"/>
      <w:footerReference w:type="first" r:id="rId14"/>
      <w:footnotePr/>
      <w:endnotePr/>
      <w:type w:val="nextPage"/>
      <w:pgSz w:h="16838" w:orient="portrait" w:w="11906"/>
      <w:pgMar w:top="993" w:right="1134" w:bottom="851" w:left="1134" w:header="709" w:footer="0" w:gutter="0"/>
      <w:cols w:num="1" w:sep="0" w:space="720" w:equalWidth="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 w14:paraId="353F17FD" w14:textId="77777777">
      <w:pPr>
        <w:pBdr/>
        <w:spacing/>
        <w:ind/>
        <w:rPr/>
      </w:pPr>
      <w:r>
        <w:separator/>
      </w:r>
      <w:r/>
    </w:p>
  </w:endnote>
  <w:endnote w:type="continuationSeparator" w:id="0">
    <w:p w14:paraId="0CCF0E71" w14:textId="77777777"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Calibri">
    <w:panose1 w:val="020F0502020204030204"/>
  </w:font>
  <w:font w:name="Verdana">
    <w:panose1 w:val="020B0604030504040204"/>
  </w:font>
  <w:font w:name="Lucida Grande;Arial">
    <w:panose1 w:val="05040102010807070707"/>
  </w:font>
  <w:font w:name="Courier New">
    <w:panose1 w:val="02070309020205020404"/>
  </w:font>
  <w:font w:name="Symbol">
    <w:panose1 w:val="05050102010706020507"/>
  </w:font>
  <w:font w:name="Arial Narrow">
    <w:panose1 w:val="020B0604020202020204"/>
  </w:font>
  <w:font w:name="Microsoft YaHei">
    <w:panose1 w:val="020B0503020204020204"/>
  </w:font>
  <w:font w:name="Times New Roman">
    <w:panose1 w:val="02020603050405020304"/>
  </w:font>
  <w:font w:name="Arial">
    <w:panose1 w:val="020B0604020202020204"/>
  </w:font>
  <w:font w:name="Verdana Bold;Verdana">
    <w:panose1 w:val="020B0604030504040204"/>
  </w:font>
  <w:font w:name="SimSun">
    <w:panose1 w:val="02010600030101010101"/>
  </w:font>
  <w:font w:name="Liberation Sans">
    <w:panose1 w:val="020B0604020202020204"/>
  </w:font>
  <w:font w:name="Wingdings">
    <w:panose1 w:val="05000000000000000000"/>
  </w:font>
  <w:font w:name="Lucida Sans">
    <w:panose1 w:val="020B0602030504020204"/>
  </w:font>
  <w:font w:name="Liberation Serif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 w14:paraId="5997CC1D" w14:textId="77777777">
    <w:pPr>
      <w:pStyle w:val="1135"/>
      <w:pBdr/>
      <w:spacing/>
      <w:ind/>
      <w:rPr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 w14:paraId="2C14D5BA" w14:textId="4ED9175E">
    <w:pPr>
      <w:pStyle w:val="1135"/>
      <w:pBdr/>
      <w:spacing/>
      <w:ind/>
      <w:jc w:val="right"/>
      <w:rPr/>
    </w:pPr>
    <w:r/>
    <w:sdt>
      <w:sdtPr>
        <w15:appearance w15:val="boundingBox"/>
        <w:id w:val="-1390186998"/>
        <w:docPartObj>
          <w:docPartGallery w:val="Page Numbers (Top of Page)"/>
          <w:docPartUnique w:val="true"/>
        </w:docPartObj>
        <w:rPr/>
      </w:sdtPr>
      <w:sdtContent>
        <w:r>
          <w:t xml:space="preserve">Página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 xml:space="preserve">PAGE</w:instrText>
        </w:r>
        <w:r>
          <w:rPr>
            <w:b/>
            <w:bCs/>
          </w:rPr>
          <w:fldChar w:fldCharType="separate"/>
        </w:r>
        <w:r>
          <w:rPr>
            <w:b/>
            <w:bCs/>
          </w:rPr>
          <w:t xml:space="preserve">2</w:t>
        </w:r>
        <w:r>
          <w:rPr>
            <w:b/>
            <w:bCs/>
          </w:rPr>
          <w:fldChar w:fldCharType="end"/>
        </w:r>
        <w:r>
          <w:t xml:space="preserve"> de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 xml:space="preserve">NUMPAGES</w:instrText>
        </w:r>
        <w:r>
          <w:rPr>
            <w:b/>
            <w:bCs/>
          </w:rPr>
          <w:fldChar w:fldCharType="separate"/>
        </w:r>
        <w:r>
          <w:rPr>
            <w:b/>
            <w:bCs/>
          </w:rPr>
          <w:t xml:space="preserve">2</w:t>
        </w:r>
        <w:r>
          <w:rPr>
            <w:b/>
            <w:bCs/>
          </w:rPr>
          <w:fldChar w:fldCharType="end"/>
        </w:r>
      </w:sdtContent>
    </w:sdt>
    <w:r/>
    <w:r/>
  </w:p>
  <w:p w14:paraId="3FE9F23F" w14:textId="77777777">
    <w:pPr>
      <w:pStyle w:val="1135"/>
      <w:pBdr/>
      <w:spacing/>
      <w:ind/>
      <w:rPr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 w14:paraId="053F1E01" w14:textId="17DB902A">
    <w:pPr>
      <w:pStyle w:val="1135"/>
      <w:pBdr/>
      <w:spacing/>
      <w:ind/>
      <w:jc w:val="right"/>
      <w:rPr/>
    </w:pPr>
    <w:r>
      <w:t xml:space="preserve">Página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</w:rPr>
      <w:fldChar w:fldCharType="separate"/>
    </w:r>
    <w:r>
      <w:rPr>
        <w:b/>
        <w:bCs/>
      </w:rPr>
      <w:t xml:space="preserve">1</w:t>
    </w:r>
    <w:r>
      <w:rPr>
        <w:b/>
        <w:bCs/>
      </w:rPr>
      <w:fldChar w:fldCharType="end"/>
    </w:r>
    <w:r>
      <w:t xml:space="preserve"> de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</w:rPr>
      <w:fldChar w:fldCharType="separate"/>
    </w:r>
    <w:r>
      <w:rPr>
        <w:b/>
        <w:bCs/>
      </w:rPr>
      <w:t xml:space="preserve">2</w:t>
    </w:r>
    <w:r>
      <w:rPr>
        <w:b/>
        <w:bCs/>
      </w:rPr>
      <w:fldChar w:fldCharType="end"/>
    </w:r>
    <w:r/>
  </w:p>
  <w:p w14:paraId="4B99056E" w14:textId="77777777">
    <w:pPr>
      <w:pStyle w:val="1135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 w14:paraId="70C8CD88" w14:textId="77777777">
      <w:pPr>
        <w:pBdr/>
        <w:spacing/>
        <w:ind/>
        <w:rPr/>
      </w:pPr>
      <w:r>
        <w:separator/>
      </w:r>
      <w:r/>
    </w:p>
  </w:footnote>
  <w:footnote w:type="continuationSeparator" w:id="0">
    <w:p w14:paraId="2670B540" w14:textId="77777777">
      <w:pPr>
        <w:pBdr/>
        <w:spacing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Ind w:w="-232" w:type="dxa"/>
      <w:tblW w:w="9370" w:type="dxa"/>
      <w:tblCellMar>
        <w:left w:w="18" w:type="dxa"/>
      </w:tblCellMar>
      <w:tblBorders>
        <w:top w:val="single" w:color="000001" w:sz="12" w:space="0"/>
        <w:left w:val="single" w:color="000001" w:sz="12" w:space="0"/>
        <w:bottom w:val="single" w:color="000001" w:sz="12" w:space="0"/>
        <w:insideH w:val="single" w:color="000001" w:sz="12" w:space="0"/>
      </w:tblBorders>
      <w:tblLook w:val="0000" w:firstRow="0" w:lastRow="0" w:firstColumn="0" w:lastColumn="0" w:noHBand="0" w:noVBand="0"/>
    </w:tblPr>
    <w:tblGrid>
      <w:gridCol w:w="1908"/>
      <w:gridCol w:w="7462"/>
    </w:tblGrid>
    <w:tr>
      <w:trPr>
        <w:trHeight w:val="1742"/>
      </w:trPr>
      <w:tc>
        <w:tcPr>
          <w:shd w:val="clear" w:color="auto" w:fill="auto"/>
          <w:tcBorders>
            <w:top w:val="single" w:color="000001" w:sz="12" w:space="0"/>
            <w:left w:val="single" w:color="000001" w:sz="12" w:space="0"/>
            <w:bottom w:val="single" w:color="000001" w:sz="12" w:space="0"/>
          </w:tcBorders>
          <w:tcW w:w="1908" w:type="dxa"/>
          <w:vAlign w:val="center"/>
          <w:textDirection w:val="lrTb"/>
          <w:noWrap w:val="false"/>
        </w:tcPr>
        <w:p w14:paraId="61CDCEAD" w14:textId="77777777">
          <w:pPr>
            <w:pBdr/>
            <w:spacing/>
            <w:ind/>
            <w:jc w:val="center"/>
            <w:rPr>
              <w:rFonts w:ascii="Arial" w:hAnsi="Arial" w:cs="Arial"/>
            </w:rPr>
          </w:pPr>
          <w:r>
            <w:rPr>
              <w:lang w:eastAsia="pt-BR"/>
            </w:rPr>
            <mc:AlternateContent>
              <mc:Choice Requires="wpg">
                <w:drawing>
                  <wp:inline xmlns:wp="http://schemas.openxmlformats.org/drawingml/2006/wordprocessingDrawing" distT="0" distB="0" distL="0" distR="0">
                    <wp:extent cx="960120" cy="960120"/>
                    <wp:effectExtent l="0" t="0" r="0" b="0"/>
                    <wp:docPr id="1" name="Figura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Figura1"/>
                            <pic:cNvPicPr>
                              <a:picLocks noChangeAspect="1"/>
                            </pic:cNvPicPr>
                            <pic:nvPr/>
                          </pic:nvPicPr>
                          <pic:blipFill rotWithShape="1"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960120" cy="960120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mc:Choice>
              <mc:Fallback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0" o:spid="_x0000_s0" type="#_x0000_t75" style="width:75.60pt;height:75.60pt;mso-wrap-distance-left:0.00pt;mso-wrap-distance-top:0.00pt;mso-wrap-distance-right:0.00pt;mso-wrap-distance-bottom:0.00pt;z-index:1;" stroked="false">
                    <v:imagedata r:id="rId1" o:title=""/>
                    <o:lock v:ext="edit" rotation="t"/>
                  </v:shape>
                </w:pict>
              </mc:Fallback>
            </mc:AlternateContent>
          </w:r>
          <w:r>
            <w:rPr>
              <w:rFonts w:ascii="Arial" w:hAnsi="Arial" w:cs="Arial"/>
            </w:rPr>
          </w:r>
        </w:p>
      </w:tc>
      <w:tc>
        <w:tcPr>
          <w:shd w:val="clear" w:color="auto" w:fill="auto"/>
          <w:tcBorders>
            <w:top w:val="single" w:color="000001" w:sz="12" w:space="0"/>
            <w:left w:val="single" w:color="000001" w:sz="12" w:space="0"/>
            <w:bottom w:val="single" w:color="000001" w:sz="12" w:space="0"/>
            <w:right w:val="single" w:color="000001" w:sz="12" w:space="0"/>
          </w:tcBorders>
          <w:tcMar>
            <w:left w:w="48" w:type="dxa"/>
          </w:tcMar>
          <w:tcW w:w="7461" w:type="dxa"/>
          <w:vAlign w:val="center"/>
          <w:textDirection w:val="lrTb"/>
          <w:noWrap w:val="false"/>
        </w:tcPr>
        <w:p w14:paraId="385015A8" w14:textId="77777777">
          <w:pPr>
            <w:pBdr/>
            <w:spacing/>
            <w:ind/>
            <w:jc w:val="center"/>
            <w:rPr>
              <w:b/>
            </w:rPr>
          </w:pPr>
          <w:r>
            <w:rPr>
              <w:rFonts w:ascii="Arial Narrow" w:hAnsi="Arial Narrow" w:eastAsia="Arial Narrow" w:cs="Arial Narrow"/>
              <w:b/>
              <w:bCs/>
              <w:color w:val="0000ff"/>
              <w:sz w:val="22"/>
              <w:szCs w:val="22"/>
            </w:rPr>
            <w:t xml:space="preserve">        </w:t>
          </w:r>
          <w:r>
            <w:rPr>
              <w:b/>
              <w:bCs/>
              <w:color w:val="0000ff"/>
            </w:rPr>
            <w:t xml:space="preserve">Sociedade de Educação Nossa Senhora do Patrocínio</w:t>
          </w:r>
          <w:r>
            <w:rPr>
              <w:b/>
            </w:rPr>
          </w:r>
        </w:p>
        <w:p w14:paraId="5FD42103" w14:textId="77777777">
          <w:pPr>
            <w:pBdr/>
            <w:spacing/>
            <w:ind/>
            <w:jc w:val="center"/>
            <w:rPr>
              <w:rFonts w:ascii="Tahoma" w:hAnsi="Tahoma" w:cs="Tahoma"/>
              <w:sz w:val="28"/>
              <w:szCs w:val="28"/>
            </w:rPr>
          </w:pPr>
          <w:r>
            <w:rPr>
              <w:rFonts w:ascii="Tahoma" w:hAnsi="Tahoma" w:eastAsia="Tahoma" w:cs="Tahoma"/>
              <w:b/>
              <w:bCs/>
              <w:color w:val="0000ff"/>
              <w:sz w:val="28"/>
              <w:szCs w:val="28"/>
            </w:rPr>
            <w:t xml:space="preserve"> </w:t>
          </w:r>
          <w:r>
            <w:rPr>
              <w:rFonts w:ascii="Tahoma" w:hAnsi="Tahoma" w:cs="Tahoma"/>
              <w:b/>
              <w:bCs/>
              <w:color w:val="0000ff"/>
              <w:sz w:val="28"/>
              <w:szCs w:val="28"/>
            </w:rPr>
            <w:t xml:space="preserve">Centro Universitário Nossa Senhora do Patrocínio</w:t>
          </w:r>
          <w:r>
            <w:rPr>
              <w:rFonts w:ascii="Tahoma" w:hAnsi="Tahoma" w:cs="Tahoma"/>
              <w:sz w:val="28"/>
              <w:szCs w:val="28"/>
            </w:rPr>
          </w:r>
        </w:p>
        <w:p w14:paraId="7CDB6ADA" w14:textId="77777777">
          <w:pPr>
            <w:pBdr/>
            <w:spacing/>
            <w:ind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color w:val="0000ff"/>
              <w:sz w:val="16"/>
              <w:szCs w:val="16"/>
            </w:rPr>
            <w:t xml:space="preserve">Decreto Presidencial de 1º Jul 98 - Publicado no D.O.U. de 02 Jul 98</w:t>
          </w:r>
          <w:r>
            <w:rPr>
              <w:rFonts w:ascii="Arial" w:hAnsi="Arial" w:cs="Arial"/>
              <w:b/>
              <w:sz w:val="16"/>
              <w:szCs w:val="16"/>
            </w:rPr>
          </w:r>
        </w:p>
        <w:p w14:paraId="6BCC8D68" w14:textId="77777777">
          <w:pPr>
            <w:pBdr/>
            <w:spacing/>
            <w:ind/>
            <w:jc w:val="center"/>
            <w:rPr>
              <w:rFonts w:ascii="Arial" w:hAnsi="Arial" w:cs="Arial"/>
              <w:b/>
              <w:color w:val="0000ff"/>
              <w:sz w:val="16"/>
              <w:szCs w:val="16"/>
            </w:rPr>
          </w:pPr>
          <w:r>
            <w:rPr>
              <w:rFonts w:ascii="Arial" w:hAnsi="Arial" w:cs="Arial"/>
              <w:b/>
              <w:color w:val="0000ff"/>
              <w:sz w:val="16"/>
              <w:szCs w:val="16"/>
            </w:rPr>
            <w:t xml:space="preserve">Rua Madre Maria Basília, 965 - Itu – SP - CEP 13300460</w:t>
          </w:r>
          <w:r>
            <w:rPr>
              <w:rFonts w:ascii="Arial" w:hAnsi="Arial" w:cs="Arial"/>
              <w:b/>
              <w:color w:val="0000ff"/>
              <w:sz w:val="16"/>
              <w:szCs w:val="16"/>
            </w:rPr>
          </w:r>
        </w:p>
        <w:p w14:paraId="6BB9E253" w14:textId="77777777">
          <w:pPr>
            <w:pBdr/>
            <w:spacing/>
            <w:ind/>
            <w:jc w:val="center"/>
            <w:rPr>
              <w:rFonts w:ascii="Arial" w:hAnsi="Arial" w:cs="Arial"/>
              <w:b/>
              <w:color w:val="0000ff"/>
              <w:sz w:val="4"/>
              <w:szCs w:val="4"/>
            </w:rPr>
          </w:pPr>
          <w:r>
            <w:rPr>
              <w:rFonts w:ascii="Arial" w:hAnsi="Arial" w:cs="Arial"/>
              <w:b/>
              <w:color w:val="0000ff"/>
              <w:sz w:val="4"/>
              <w:szCs w:val="4"/>
            </w:rPr>
          </w:r>
          <w:r>
            <w:rPr>
              <w:rFonts w:ascii="Arial" w:hAnsi="Arial" w:cs="Arial"/>
              <w:b/>
              <w:color w:val="0000ff"/>
              <w:sz w:val="4"/>
              <w:szCs w:val="4"/>
            </w:rPr>
          </w:r>
        </w:p>
      </w:tc>
    </w:tr>
  </w:tbl>
  <w:p w14:paraId="7411C064" w14:textId="77777777">
    <w:pPr>
      <w:pStyle w:val="1134"/>
      <w:pBdr/>
      <w:spacing/>
      <w:ind/>
      <w:jc w:val="right"/>
      <w:rPr/>
    </w:pPr>
    <w:r>
      <w:fldChar w:fldCharType="begin"/>
    </w:r>
    <w:r>
      <w:instrText xml:space="preserve">PAGE</w:instrText>
    </w:r>
    <w:r>
      <w:fldChar w:fldCharType="separate"/>
    </w:r>
    <w:r>
      <w:t xml:space="preserve">0</w:t>
    </w:r>
    <w:r>
      <w:fldChar w:fldCharType="end"/>
    </w:r>
    <w:r/>
  </w:p>
  <w:p w14:paraId="23DE523C" w14:textId="77777777">
    <w:pPr>
      <w:pStyle w:val="1134"/>
      <w:pBdr/>
      <w:spacing/>
      <w:ind/>
      <w:rPr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Ind w:w="-276" w:type="dxa"/>
      <w:tblW w:w="9356" w:type="dxa"/>
      <w:tblCellMar>
        <w:left w:w="0" w:type="dxa"/>
        <w:right w:w="0" w:type="dxa"/>
      </w:tblCellMar>
      <w:tblBorders/>
      <w:tblLook w:val="0000" w:firstRow="0" w:lastRow="0" w:firstColumn="0" w:lastColumn="0" w:noHBand="0" w:noVBand="0"/>
    </w:tblPr>
    <w:tblGrid>
      <w:gridCol w:w="3341"/>
      <w:gridCol w:w="3187"/>
      <w:gridCol w:w="2828"/>
    </w:tblGrid>
    <w:tr>
      <w:trPr/>
      <w:tc>
        <w:tcPr>
          <w:shd w:val="clear" w:color="auto" w:fill="auto"/>
          <w:tcBorders/>
          <w:tcW w:w="3341" w:type="dxa"/>
          <w:textDirection w:val="lrTb"/>
          <w:noWrap w:val="false"/>
        </w:tcPr>
        <w:p w14:paraId="0D0B940D" w14:textId="77777777">
          <w:pPr>
            <w:pBdr/>
            <w:spacing/>
            <w:ind w:left="276"/>
            <w:rPr>
              <w:lang w:eastAsia="pt-BR"/>
            </w:rPr>
          </w:pPr>
          <w:r>
            <w:rPr>
              <w:lang w:eastAsia="pt-BR"/>
            </w:rPr>
            <mc:AlternateContent>
              <mc:Choice Requires="wpg">
                <w:drawing>
                  <wp:inline xmlns:wp="http://schemas.openxmlformats.org/drawingml/2006/wordprocessingDrawing" distT="0" distB="0" distL="0" distR="0">
                    <wp:extent cx="1292860" cy="443865"/>
                    <wp:effectExtent l="0" t="0" r="0" b="0"/>
                    <wp:docPr id="2" name="Figura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" name="Figura2"/>
                            <pic:cNvPicPr>
                              <a:picLocks noChangeAspect="1"/>
                            </pic:cNvPicPr>
                            <pic:nvPr/>
                          </pic:nvPicPr>
                          <pic:blipFill rotWithShape="1"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1292860" cy="443865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mc:Choice>
              <mc:Fallback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" o:spid="_x0000_s1" type="#_x0000_t75" style="width:101.80pt;height:34.95pt;mso-wrap-distance-left:0.00pt;mso-wrap-distance-top:0.00pt;mso-wrap-distance-right:0.00pt;mso-wrap-distance-bottom:0.00pt;z-index:1;" stroked="false">
                    <v:imagedata r:id="rId1" o:title=""/>
                    <o:lock v:ext="edit" rotation="t"/>
                  </v:shape>
                </w:pict>
              </mc:Fallback>
            </mc:AlternateContent>
          </w:r>
          <w:r>
            <w:rPr>
              <w:lang w:eastAsia="pt-BR"/>
            </w:rPr>
          </w:r>
        </w:p>
      </w:tc>
      <w:tc>
        <w:tcPr>
          <w:shd w:val="clear" w:color="auto" w:fill="auto"/>
          <w:tcBorders/>
          <w:tcW w:w="3187" w:type="dxa"/>
          <w:textDirection w:val="lrTb"/>
          <w:noWrap w:val="false"/>
        </w:tcPr>
        <w:p w14:paraId="0E27B00A" w14:textId="77777777">
          <w:pPr>
            <w:pBdr/>
            <w:spacing/>
            <w:ind/>
            <w:rPr>
              <w:color w:val="1f497d"/>
            </w:rPr>
          </w:pPr>
          <w:r>
            <w:rPr>
              <w:color w:val="1f497d"/>
            </w:rPr>
          </w:r>
          <w:r>
            <w:rPr>
              <w:color w:val="1f497d"/>
            </w:rPr>
          </w:r>
        </w:p>
        <w:p w14:paraId="60061E4C" w14:textId="77777777">
          <w:pPr>
            <w:pBdr/>
            <w:spacing/>
            <w:ind/>
            <w:rPr>
              <w:color w:val="1f497d"/>
            </w:rPr>
          </w:pPr>
          <w:r>
            <w:rPr>
              <w:color w:val="1f497d"/>
            </w:rPr>
          </w:r>
          <w:r>
            <w:rPr>
              <w:color w:val="1f497d"/>
            </w:rPr>
          </w:r>
        </w:p>
        <w:p w14:paraId="49099AA2" w14:textId="77777777">
          <w:pPr>
            <w:pBdr/>
            <w:spacing/>
            <w:ind/>
            <w:jc w:val="right"/>
            <w:rPr>
              <w:rFonts w:ascii="Verdana" w:hAnsi="Verdana" w:cs="Verdana"/>
              <w:b/>
              <w:color w:val="1f497d"/>
              <w:sz w:val="16"/>
            </w:rPr>
          </w:pPr>
          <w:r>
            <w:rPr>
              <w:rFonts w:ascii="Verdana" w:hAnsi="Verdana" w:cs="Verdana"/>
              <w:b/>
              <w:color w:val="1f497d"/>
              <w:sz w:val="16"/>
            </w:rPr>
            <w:t xml:space="preserve">Itu I</w:t>
          </w:r>
          <w:r>
            <w:rPr>
              <w:rFonts w:ascii="Verdana" w:hAnsi="Verdana" w:cs="Verdana"/>
              <w:b/>
              <w:color w:val="1f497d"/>
              <w:sz w:val="16"/>
            </w:rPr>
          </w:r>
        </w:p>
        <w:p w14:paraId="3A9E00B6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  <w:t xml:space="preserve">R. Madre Maria Basília, 965</w:t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533BE040" w14:textId="77777777">
          <w:pPr>
            <w:pBdr/>
            <w:spacing/>
            <w:ind/>
            <w:jc w:val="right"/>
            <w:rPr/>
          </w:pPr>
          <w:r>
            <w:rPr>
              <w:rFonts w:ascii="Verdana" w:hAnsi="Verdana" w:cs="Verdana"/>
              <w:color w:val="1f497d"/>
              <w:sz w:val="16"/>
            </w:rPr>
            <w:t xml:space="preserve">13300 903 Itu SP </w:t>
          </w:r>
          <w:r/>
        </w:p>
        <w:p w14:paraId="48990EF4" w14:textId="77777777">
          <w:pPr>
            <w:pBdr/>
            <w:spacing/>
            <w:ind/>
            <w:jc w:val="right"/>
            <w:rPr/>
          </w:pPr>
          <w:r>
            <w:rPr>
              <w:rFonts w:ascii="Verdana" w:hAnsi="Verdana" w:cs="Verdana"/>
              <w:b/>
              <w:color w:val="1f497d"/>
              <w:sz w:val="16"/>
            </w:rPr>
            <w:t xml:space="preserve">T </w:t>
          </w:r>
          <w:r>
            <w:rPr>
              <w:rFonts w:ascii="Verdana" w:hAnsi="Verdana" w:cs="Verdana"/>
              <w:color w:val="1f497d"/>
              <w:sz w:val="15"/>
            </w:rPr>
            <w:t xml:space="preserve">55 11</w:t>
          </w:r>
          <w:r>
            <w:rPr>
              <w:rFonts w:ascii="Verdana" w:hAnsi="Verdana" w:cs="Verdana"/>
              <w:color w:val="1f497d"/>
              <w:sz w:val="16"/>
            </w:rPr>
            <w:t xml:space="preserve"> 4013 9900</w:t>
          </w:r>
          <w:r/>
        </w:p>
        <w:p w14:paraId="44EAFD9C" w14:textId="77777777">
          <w:pPr>
            <w:pBdr/>
            <w:spacing/>
            <w:ind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</w:r>
          <w:r>
            <w:rPr>
              <w:rFonts w:ascii="Verdana" w:hAnsi="Verdana" w:cs="Verdana"/>
              <w:color w:val="1f497d"/>
              <w:sz w:val="16"/>
            </w:rPr>
          </w:r>
        </w:p>
      </w:tc>
      <w:tc>
        <w:tcPr>
          <w:shd w:val="clear" w:color="auto" w:fill="auto"/>
          <w:tcBorders/>
          <w:tcW w:w="2828" w:type="dxa"/>
          <w:textDirection w:val="lrTb"/>
          <w:noWrap w:val="false"/>
        </w:tcPr>
        <w:p w14:paraId="4B94D5A5" w14:textId="77777777">
          <w:pPr>
            <w:pBdr/>
            <w:spacing/>
            <w:ind/>
            <w:jc w:val="right"/>
            <w:rPr>
              <w:rFonts w:ascii="Verdana Bold;Verdana" w:hAnsi="Verdana Bold;Verdana" w:cs="Verdana Bold;Verdana"/>
              <w:color w:val="1f497d"/>
              <w:sz w:val="16"/>
            </w:rPr>
          </w:pPr>
          <w:r>
            <w:rPr>
              <w:rFonts w:ascii="Verdana Bold;Verdana" w:hAnsi="Verdana Bold;Verdana" w:cs="Verdana Bold;Verdana"/>
              <w:color w:val="1f497d"/>
              <w:sz w:val="16"/>
            </w:rPr>
          </w:r>
          <w:r>
            <w:rPr>
              <w:rFonts w:ascii="Verdana Bold;Verdana" w:hAnsi="Verdana Bold;Verdana" w:cs="Verdana Bold;Verdana"/>
              <w:color w:val="1f497d"/>
              <w:sz w:val="16"/>
            </w:rPr>
          </w:r>
        </w:p>
        <w:p w14:paraId="626C85D6" w14:textId="77777777">
          <w:pPr>
            <w:pBdr/>
            <w:spacing/>
            <w:ind/>
            <w:jc w:val="right"/>
            <w:rPr/>
          </w:pPr>
          <w:r>
            <w:rPr>
              <w:rFonts w:ascii="Verdana" w:hAnsi="Verdana" w:cs="Verdana"/>
              <w:b/>
              <w:color w:val="1f497d"/>
              <w:sz w:val="18"/>
            </w:rPr>
            <w:t xml:space="preserve">www.ceunsp.edu.br</w:t>
          </w:r>
          <w:r/>
        </w:p>
        <w:p w14:paraId="3DEEC669" w14:textId="77777777">
          <w:pPr>
            <w:pBdr/>
            <w:spacing/>
            <w:ind/>
            <w:jc w:val="right"/>
            <w:rPr>
              <w:rFonts w:ascii="Verdana" w:hAnsi="Verdana" w:cs="Verdana"/>
              <w:b/>
              <w:color w:val="1f497d"/>
              <w:sz w:val="16"/>
            </w:rPr>
          </w:pPr>
          <w:r>
            <w:rPr>
              <w:rFonts w:ascii="Verdana" w:hAnsi="Verdana" w:cs="Verdana"/>
              <w:b/>
              <w:color w:val="1f497d"/>
              <w:sz w:val="16"/>
            </w:rPr>
          </w:r>
          <w:r>
            <w:rPr>
              <w:rFonts w:ascii="Verdana" w:hAnsi="Verdana" w:cs="Verdana"/>
              <w:b/>
              <w:color w:val="1f497d"/>
              <w:sz w:val="16"/>
            </w:rPr>
          </w:r>
        </w:p>
        <w:p w14:paraId="20212FBC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b/>
              <w:color w:val="1f497d"/>
              <w:sz w:val="16"/>
            </w:rPr>
            <w:t xml:space="preserve">Itu II </w:t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0BCF041C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  <w:t xml:space="preserve">Rua do Patrocínio, 716</w:t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04E9E7B4" w14:textId="77777777">
          <w:pPr>
            <w:pBdr/>
            <w:spacing/>
            <w:ind/>
            <w:jc w:val="right"/>
            <w:rPr/>
          </w:pPr>
          <w:r>
            <w:rPr>
              <w:rFonts w:ascii="Verdana" w:hAnsi="Verdana" w:cs="Verdana"/>
              <w:color w:val="1f497d"/>
              <w:sz w:val="16"/>
            </w:rPr>
            <w:t xml:space="preserve">13300 200 Itu SP </w:t>
          </w:r>
          <w:r/>
        </w:p>
        <w:p w14:paraId="6AD46FFF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b/>
              <w:color w:val="1f497d"/>
              <w:sz w:val="16"/>
            </w:rPr>
            <w:t xml:space="preserve">T </w:t>
          </w:r>
          <w:r>
            <w:rPr>
              <w:rFonts w:ascii="Verdana" w:hAnsi="Verdana" w:cs="Verdana"/>
              <w:color w:val="1f497d"/>
              <w:sz w:val="15"/>
            </w:rPr>
            <w:t xml:space="preserve">55 11</w:t>
          </w:r>
          <w:r>
            <w:rPr>
              <w:rFonts w:ascii="Verdana" w:hAnsi="Verdana" w:cs="Verdana"/>
              <w:color w:val="1f497d"/>
              <w:sz w:val="16"/>
            </w:rPr>
            <w:t xml:space="preserve"> 4013 9900</w:t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3656B9AB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485136FA" w14:textId="77777777">
          <w:pPr>
            <w:pBdr/>
            <w:spacing/>
            <w:ind/>
            <w:jc w:val="right"/>
            <w:rPr>
              <w:rFonts w:ascii="Verdana" w:hAnsi="Verdana" w:cs="Verdana"/>
              <w:b/>
              <w:color w:val="1f497d"/>
              <w:sz w:val="16"/>
            </w:rPr>
          </w:pPr>
          <w:r>
            <w:rPr>
              <w:rFonts w:ascii="Verdana" w:hAnsi="Verdana" w:cs="Verdana"/>
              <w:b/>
              <w:color w:val="1f497d"/>
              <w:sz w:val="16"/>
            </w:rPr>
            <w:t xml:space="preserve">Salto</w:t>
          </w:r>
          <w:r>
            <w:rPr>
              <w:rFonts w:ascii="Verdana" w:hAnsi="Verdana" w:cs="Verdana"/>
              <w:b/>
              <w:color w:val="1f497d"/>
              <w:sz w:val="16"/>
            </w:rPr>
          </w:r>
        </w:p>
        <w:p w14:paraId="404E1B34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  <w:t xml:space="preserve">Pç. Antônio Vieira Tavares, 153</w:t>
          </w:r>
          <w:r>
            <w:rPr>
              <w:rFonts w:ascii="Verdana" w:hAnsi="Verdana" w:cs="Verdana"/>
              <w:color w:val="1f497d"/>
              <w:sz w:val="16"/>
            </w:rPr>
            <w:br/>
            <w:t xml:space="preserve">13320 219 Salto SP</w:t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5F42AB30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b/>
              <w:color w:val="1f497d"/>
              <w:sz w:val="16"/>
            </w:rPr>
            <w:t xml:space="preserve">T </w:t>
          </w:r>
          <w:r>
            <w:rPr>
              <w:rFonts w:ascii="Verdana" w:hAnsi="Verdana" w:cs="Verdana"/>
              <w:color w:val="1f497d"/>
              <w:sz w:val="15"/>
              <w:szCs w:val="15"/>
            </w:rPr>
            <w:t xml:space="preserve">55 11</w:t>
          </w:r>
          <w:r>
            <w:rPr>
              <w:rFonts w:ascii="Verdana" w:hAnsi="Verdana" w:cs="Verdana"/>
              <w:color w:val="1f497d"/>
              <w:sz w:val="16"/>
            </w:rPr>
            <w:t xml:space="preserve"> 4028 8800</w:t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45FB0818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049F31CB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53128261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</w:r>
          <w:r>
            <w:rPr>
              <w:rFonts w:ascii="Verdana" w:hAnsi="Verdana" w:cs="Verdana"/>
              <w:color w:val="1f497d"/>
              <w:sz w:val="16"/>
            </w:rPr>
          </w:r>
        </w:p>
      </w:tc>
    </w:tr>
  </w:tbl>
  <w:p w14:paraId="62486C05" w14:textId="77777777">
    <w:pPr>
      <w:pStyle w:val="1134"/>
      <w:pBdr/>
      <w:spacing/>
      <w:ind/>
      <w:rPr/>
    </w:pPr>
    <w:r/>
    <w:r/>
  </w:p>
  <w:p w14:paraId="4101652C" w14:textId="77777777">
    <w:pPr>
      <w:pStyle w:val="1134"/>
      <w:pBdr/>
      <w:spacing/>
      <w:ind/>
      <w:rPr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Ind w:w="-276" w:type="dxa"/>
      <w:tblW w:w="9870" w:type="dxa"/>
      <w:tblCellMar>
        <w:left w:w="0" w:type="dxa"/>
        <w:right w:w="0" w:type="dxa"/>
      </w:tblCellMar>
      <w:tblBorders/>
      <w:tblLook w:val="0000" w:firstRow="0" w:lastRow="0" w:firstColumn="0" w:lastColumn="0" w:noHBand="0" w:noVBand="0"/>
    </w:tblPr>
    <w:tblGrid>
      <w:gridCol w:w="3340"/>
      <w:gridCol w:w="3512"/>
      <w:gridCol w:w="3018"/>
    </w:tblGrid>
    <w:tr>
      <w:trPr>
        <w:trHeight w:val="2550"/>
      </w:trPr>
      <w:tc>
        <w:tcPr>
          <w:shd w:val="clear" w:color="auto" w:fill="auto"/>
          <w:tcBorders/>
          <w:tcW w:w="3340" w:type="dxa"/>
          <w:textDirection w:val="lrTb"/>
          <w:noWrap w:val="false"/>
        </w:tcPr>
        <w:p w14:paraId="1299C43A" w14:textId="77777777">
          <w:pPr>
            <w:pBdr/>
            <w:spacing/>
            <w:ind w:left="276"/>
            <w:rPr>
              <w:lang w:eastAsia="pt-BR"/>
            </w:rPr>
          </w:pPr>
          <w:r>
            <w:rPr>
              <w:lang w:eastAsia="pt-BR"/>
            </w:rPr>
            <mc:AlternateContent>
              <mc:Choice Requires="wpg">
                <w:drawing>
                  <wp:inline xmlns:wp="http://schemas.openxmlformats.org/drawingml/2006/wordprocessingDrawing" distT="0" distB="0" distL="0" distR="0">
                    <wp:extent cx="1292860" cy="443865"/>
                    <wp:effectExtent l="0" t="0" r="0" b="0"/>
                    <wp:docPr id="3" name="Picture 2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3" name="Picture 26"/>
                            <pic:cNvPicPr>
                              <a:picLocks noChangeAspect="1"/>
                            </pic:cNvPicPr>
                            <pic:nvPr/>
                          </pic:nvPicPr>
                          <pic:blipFill rotWithShape="1">
                            <a:blip r:embed="rId1"/>
                            <a:srcRect l="-10" t="-31" r="-10" b="-31"/>
                            <a:stretch/>
                          </pic:blipFill>
                          <pic:spPr bwMode="auto">
                            <a:xfrm>
                              <a:off x="0" y="0"/>
                              <a:ext cx="1292860" cy="443865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mc:Choice>
              <mc:Fallback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2" o:spid="_x0000_s2" type="#_x0000_t75" style="width:101.80pt;height:34.95pt;mso-wrap-distance-left:0.00pt;mso-wrap-distance-top:0.00pt;mso-wrap-distance-right:0.00pt;mso-wrap-distance-bottom:0.00pt;z-index:1;" stroked="false">
                    <v:imagedata r:id="rId1" o:title="" croptop="-19f" cropleft="-6f" cropbottom="-19f" cropright="-6f"/>
                    <o:lock v:ext="edit" rotation="t"/>
                  </v:shape>
                </w:pict>
              </mc:Fallback>
            </mc:AlternateContent>
          </w:r>
          <w:r>
            <w:rPr>
              <w:lang w:eastAsia="pt-BR"/>
            </w:rPr>
          </w:r>
        </w:p>
      </w:tc>
      <w:tc>
        <w:tcPr>
          <w:shd w:val="clear" w:color="auto" w:fill="auto"/>
          <w:tcBorders/>
          <w:tcW w:w="3512" w:type="dxa"/>
          <w:textDirection w:val="lrTb"/>
          <w:noWrap w:val="false"/>
        </w:tcPr>
        <w:p w14:paraId="4DDBEF00" w14:textId="77777777">
          <w:pPr>
            <w:pBdr/>
            <w:spacing/>
            <w:ind/>
            <w:rPr>
              <w:color w:val="1f497d"/>
            </w:rPr>
          </w:pPr>
          <w:r>
            <w:rPr>
              <w:color w:val="1f497d"/>
            </w:rPr>
          </w:r>
          <w:r>
            <w:rPr>
              <w:color w:val="1f497d"/>
            </w:rPr>
          </w:r>
        </w:p>
        <w:p w14:paraId="3461D779" w14:textId="77777777">
          <w:pPr>
            <w:pBdr/>
            <w:spacing/>
            <w:ind/>
            <w:rPr>
              <w:color w:val="1f497d"/>
            </w:rPr>
          </w:pPr>
          <w:r>
            <w:rPr>
              <w:color w:val="1f497d"/>
            </w:rPr>
          </w:r>
          <w:r>
            <w:rPr>
              <w:color w:val="1f497d"/>
            </w:rPr>
          </w:r>
        </w:p>
        <w:p w14:paraId="443A90EB" w14:textId="77777777">
          <w:pPr>
            <w:pBdr/>
            <w:spacing/>
            <w:ind/>
            <w:jc w:val="right"/>
            <w:rPr>
              <w:rFonts w:ascii="Verdana" w:hAnsi="Verdana" w:cs="Verdana"/>
              <w:b/>
              <w:color w:val="1f497d"/>
              <w:sz w:val="16"/>
            </w:rPr>
          </w:pPr>
          <w:r>
            <w:rPr>
              <w:rFonts w:ascii="Verdana" w:hAnsi="Verdana" w:cs="Verdana"/>
              <w:b/>
              <w:color w:val="1f497d"/>
              <w:sz w:val="16"/>
            </w:rPr>
            <w:t xml:space="preserve">Itu I</w:t>
          </w:r>
          <w:r>
            <w:rPr>
              <w:rFonts w:ascii="Verdana" w:hAnsi="Verdana" w:cs="Verdana"/>
              <w:b/>
              <w:color w:val="1f497d"/>
              <w:sz w:val="16"/>
            </w:rPr>
          </w:r>
        </w:p>
        <w:p w14:paraId="286994C4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  <w:t xml:space="preserve">R. Madre Maria Basília, 965</w:t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006A1BB6" w14:textId="77777777">
          <w:pPr>
            <w:pBdr/>
            <w:spacing/>
            <w:ind/>
            <w:jc w:val="right"/>
            <w:rPr/>
          </w:pPr>
          <w:r>
            <w:rPr>
              <w:rFonts w:ascii="Verdana" w:hAnsi="Verdana" w:cs="Verdana"/>
              <w:color w:val="1f497d"/>
              <w:sz w:val="16"/>
            </w:rPr>
            <w:t xml:space="preserve">13300 903 Itu SP </w:t>
          </w:r>
          <w:r/>
        </w:p>
        <w:p w14:paraId="648D89AC" w14:textId="77777777">
          <w:pPr>
            <w:pBdr/>
            <w:spacing/>
            <w:ind/>
            <w:jc w:val="right"/>
            <w:rPr/>
          </w:pPr>
          <w:r>
            <w:rPr>
              <w:rFonts w:ascii="Verdana" w:hAnsi="Verdana" w:cs="Verdana"/>
              <w:b/>
              <w:color w:val="1f497d"/>
              <w:sz w:val="16"/>
            </w:rPr>
            <w:t xml:space="preserve">T </w:t>
          </w:r>
          <w:r>
            <w:rPr>
              <w:rFonts w:ascii="Verdana" w:hAnsi="Verdana" w:cs="Verdana"/>
              <w:color w:val="1f497d"/>
              <w:sz w:val="15"/>
            </w:rPr>
            <w:t xml:space="preserve">55 11</w:t>
          </w:r>
          <w:r>
            <w:rPr>
              <w:rFonts w:ascii="Verdana" w:hAnsi="Verdana" w:cs="Verdana"/>
              <w:color w:val="1f497d"/>
              <w:sz w:val="16"/>
            </w:rPr>
            <w:t xml:space="preserve"> 4013 9900</w:t>
          </w:r>
          <w:r/>
        </w:p>
        <w:p w14:paraId="3CF2D8B6" w14:textId="77777777">
          <w:pPr>
            <w:pBdr/>
            <w:spacing/>
            <w:ind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</w:r>
          <w:r>
            <w:rPr>
              <w:rFonts w:ascii="Verdana" w:hAnsi="Verdana" w:cs="Verdana"/>
              <w:color w:val="1f497d"/>
              <w:sz w:val="16"/>
            </w:rPr>
          </w:r>
        </w:p>
      </w:tc>
      <w:tc>
        <w:tcPr>
          <w:shd w:val="clear" w:color="auto" w:fill="auto"/>
          <w:tcBorders/>
          <w:tcW w:w="3018" w:type="dxa"/>
          <w:textDirection w:val="lrTb"/>
          <w:noWrap w:val="false"/>
        </w:tcPr>
        <w:p w14:paraId="0FB78278" w14:textId="77777777">
          <w:pPr>
            <w:pBdr/>
            <w:spacing/>
            <w:ind/>
            <w:jc w:val="right"/>
            <w:rPr>
              <w:rFonts w:ascii="Verdana Bold;Verdana" w:hAnsi="Verdana Bold;Verdana" w:cs="Verdana Bold;Verdana"/>
              <w:color w:val="1f497d"/>
              <w:sz w:val="16"/>
            </w:rPr>
          </w:pPr>
          <w:r>
            <w:rPr>
              <w:rFonts w:ascii="Verdana Bold;Verdana" w:hAnsi="Verdana Bold;Verdana" w:cs="Verdana Bold;Verdana"/>
              <w:color w:val="1f497d"/>
              <w:sz w:val="16"/>
            </w:rPr>
          </w:r>
          <w:r>
            <w:rPr>
              <w:rFonts w:ascii="Verdana Bold;Verdana" w:hAnsi="Verdana Bold;Verdana" w:cs="Verdana Bold;Verdana"/>
              <w:color w:val="1f497d"/>
              <w:sz w:val="16"/>
            </w:rPr>
          </w:r>
        </w:p>
        <w:p w14:paraId="70447822" w14:textId="77777777">
          <w:pPr>
            <w:pBdr/>
            <w:spacing/>
            <w:ind/>
            <w:jc w:val="right"/>
            <w:rPr/>
          </w:pPr>
          <w:r>
            <w:rPr>
              <w:rFonts w:ascii="Verdana" w:hAnsi="Verdana" w:cs="Verdana"/>
              <w:b/>
              <w:color w:val="1f497d"/>
              <w:sz w:val="18"/>
            </w:rPr>
            <w:t xml:space="preserve">www.ceunsp.edu.br</w:t>
          </w:r>
          <w:r/>
        </w:p>
        <w:p w14:paraId="1FC39945" w14:textId="77777777">
          <w:pPr>
            <w:pBdr/>
            <w:spacing/>
            <w:ind/>
            <w:jc w:val="right"/>
            <w:rPr>
              <w:rFonts w:ascii="Verdana" w:hAnsi="Verdana" w:cs="Verdana"/>
              <w:b/>
              <w:color w:val="1f497d"/>
              <w:sz w:val="16"/>
            </w:rPr>
          </w:pPr>
          <w:r>
            <w:rPr>
              <w:rFonts w:ascii="Verdana" w:hAnsi="Verdana" w:cs="Verdana"/>
              <w:b/>
              <w:color w:val="1f497d"/>
              <w:sz w:val="16"/>
            </w:rPr>
          </w:r>
          <w:r>
            <w:rPr>
              <w:rFonts w:ascii="Verdana" w:hAnsi="Verdana" w:cs="Verdana"/>
              <w:b/>
              <w:color w:val="1f497d"/>
              <w:sz w:val="16"/>
            </w:rPr>
          </w:r>
        </w:p>
        <w:p w14:paraId="01F20AF1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b/>
              <w:color w:val="1f497d"/>
              <w:sz w:val="16"/>
            </w:rPr>
            <w:t xml:space="preserve">Itu II </w:t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3DD76867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  <w:t xml:space="preserve">Rua do Patrocínio, 716</w:t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22AF75A4" w14:textId="77777777">
          <w:pPr>
            <w:pBdr/>
            <w:spacing/>
            <w:ind/>
            <w:jc w:val="right"/>
            <w:rPr/>
          </w:pPr>
          <w:r>
            <w:rPr>
              <w:rFonts w:ascii="Verdana" w:hAnsi="Verdana" w:cs="Verdana"/>
              <w:color w:val="1f497d"/>
              <w:sz w:val="16"/>
            </w:rPr>
            <w:t xml:space="preserve">13300 200 Itu SP </w:t>
          </w:r>
          <w:r/>
        </w:p>
        <w:p w14:paraId="42DBDF9E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b/>
              <w:color w:val="1f497d"/>
              <w:sz w:val="16"/>
            </w:rPr>
            <w:t xml:space="preserve">T </w:t>
          </w:r>
          <w:r>
            <w:rPr>
              <w:rFonts w:ascii="Verdana" w:hAnsi="Verdana" w:cs="Verdana"/>
              <w:color w:val="1f497d"/>
              <w:sz w:val="15"/>
            </w:rPr>
            <w:t xml:space="preserve">55 11</w:t>
          </w:r>
          <w:r>
            <w:rPr>
              <w:rFonts w:ascii="Verdana" w:hAnsi="Verdana" w:cs="Verdana"/>
              <w:color w:val="1f497d"/>
              <w:sz w:val="16"/>
            </w:rPr>
            <w:t xml:space="preserve"> 4013 9900</w:t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0562CB0E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3B8FEDEB" w14:textId="77777777">
          <w:pPr>
            <w:pBdr/>
            <w:spacing/>
            <w:ind/>
            <w:jc w:val="right"/>
            <w:rPr>
              <w:rFonts w:ascii="Verdana" w:hAnsi="Verdana" w:cs="Verdana"/>
              <w:b/>
              <w:color w:val="1f497d"/>
              <w:sz w:val="16"/>
            </w:rPr>
          </w:pPr>
          <w:r>
            <w:rPr>
              <w:rFonts w:ascii="Verdana" w:hAnsi="Verdana" w:cs="Verdana"/>
              <w:b/>
              <w:color w:val="1f497d"/>
              <w:sz w:val="16"/>
            </w:rPr>
            <w:t xml:space="preserve">Salto</w:t>
          </w:r>
          <w:r>
            <w:rPr>
              <w:rFonts w:ascii="Verdana" w:hAnsi="Verdana" w:cs="Verdana"/>
              <w:b/>
              <w:color w:val="1f497d"/>
              <w:sz w:val="16"/>
            </w:rPr>
          </w:r>
        </w:p>
        <w:p w14:paraId="5DAF203A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  <w:t xml:space="preserve">Pç. Antônio Vieira Tavares, 153</w:t>
          </w:r>
          <w:r>
            <w:rPr>
              <w:rFonts w:ascii="Verdana" w:hAnsi="Verdana" w:cs="Verdana"/>
              <w:color w:val="1f497d"/>
              <w:sz w:val="16"/>
            </w:rPr>
            <w:br/>
            <w:t xml:space="preserve">13320 219 Salto SP</w:t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0D8383CF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b/>
              <w:color w:val="1f497d"/>
              <w:sz w:val="16"/>
            </w:rPr>
            <w:t xml:space="preserve">T </w:t>
          </w:r>
          <w:r>
            <w:rPr>
              <w:rFonts w:ascii="Verdana" w:hAnsi="Verdana" w:cs="Verdana"/>
              <w:color w:val="1f497d"/>
              <w:sz w:val="15"/>
              <w:szCs w:val="15"/>
            </w:rPr>
            <w:t xml:space="preserve">55 11</w:t>
          </w:r>
          <w:r>
            <w:rPr>
              <w:rFonts w:ascii="Verdana" w:hAnsi="Verdana" w:cs="Verdana"/>
              <w:color w:val="1f497d"/>
              <w:sz w:val="16"/>
            </w:rPr>
            <w:t xml:space="preserve"> 4028 8800</w:t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34CE0A41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62EBF3C5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6D98A12B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</w:r>
          <w:r>
            <w:rPr>
              <w:rFonts w:ascii="Verdana" w:hAnsi="Verdana" w:cs="Verdana"/>
              <w:color w:val="1f497d"/>
              <w:sz w:val="16"/>
            </w:rPr>
          </w:r>
        </w:p>
      </w:tc>
    </w:tr>
  </w:tbl>
  <w:p w14:paraId="2946DB82" w14:textId="77777777">
    <w:pPr>
      <w:pStyle w:val="1134"/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7EF15F9"/>
    <w:lvl w:ilvl="0">
      <w:isLgl w:val="false"/>
      <w:lvlJc w:val="right"/>
      <w:lvlText w:val="%1."/>
      <w:numFmt w:val="decimal"/>
      <w:pPr>
        <w:pBdr/>
        <w:spacing/>
        <w:ind w:hanging="360" w:left="709"/>
      </w:pPr>
      <w:rPr/>
      <w:start w:val="1"/>
      <w:suff w:val="tab"/>
    </w:lvl>
    <w:lvl w:ilvl="1">
      <w:isLgl w:val="false"/>
      <w:lvlJc w:val="right"/>
      <w:lvlText w:val="%2."/>
      <w:numFmt w:val="decimal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decimal"/>
      <w:pPr>
        <w:pBdr/>
        <w:spacing/>
        <w:ind w:hanging="360" w:left="2149"/>
      </w:pPr>
      <w:rPr/>
      <w:start w:val="1"/>
      <w:suff w:val="tab"/>
    </w:lvl>
    <w:lvl w:ilvl="3">
      <w:isLgl w:val="false"/>
      <w:lvlJc w:val="righ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right"/>
      <w:lvlText w:val="%5."/>
      <w:numFmt w:val="decimal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decimal"/>
      <w:pPr>
        <w:pBdr/>
        <w:spacing/>
        <w:ind w:hanging="360" w:left="4309"/>
      </w:pPr>
      <w:rPr/>
      <w:start w:val="1"/>
      <w:suff w:val="tab"/>
    </w:lvl>
    <w:lvl w:ilvl="6">
      <w:isLgl w:val="false"/>
      <w:lvlJc w:val="righ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right"/>
      <w:lvlText w:val="%8."/>
      <w:numFmt w:val="decimal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decimal"/>
      <w:pPr>
        <w:pBdr/>
        <w:spacing/>
        <w:ind w:hanging="360" w:left="6469"/>
      </w:pPr>
      <w:rPr/>
      <w:start w:val="1"/>
      <w:suff w:val="tab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evenAndOddHeaders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Liberation Serif" w:hAnsi="Liberation Serif" w:eastAsia="SimSun" w:cs="Lucida Sans"/>
        <w:szCs w:val="24"/>
        <w:lang w:val="pt-BR" w:eastAsia="zh-CN" w:bidi="hi-IN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2">
    <w:name w:val="Table Grid"/>
    <w:basedOn w:val="111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">
    <w:name w:val="Table Grid Light"/>
    <w:basedOn w:val="111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1"/>
    <w:basedOn w:val="111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2"/>
    <w:basedOn w:val="111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Plain Table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1 Light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2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3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"/>
    <w:basedOn w:val="11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1"/>
    <w:basedOn w:val="11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2"/>
    <w:basedOn w:val="11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3"/>
    <w:basedOn w:val="11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4"/>
    <w:basedOn w:val="11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5"/>
    <w:basedOn w:val="11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4 - Accent 6"/>
    <w:basedOn w:val="11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e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5 Dark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6 Colorful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7 Colorful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1 Light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2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3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4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5 Dark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6 Colorful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7 Colorful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1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2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3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4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5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Lined - Accent 6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1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2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3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4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5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 &amp; Lined - Accent 6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7">
    <w:name w:val="Bordered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39">
    <w:name w:val="Heading 1"/>
    <w:basedOn w:val="1108"/>
    <w:next w:val="1108"/>
    <w:link w:val="150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140">
    <w:name w:val="Heading 2"/>
    <w:basedOn w:val="1108"/>
    <w:next w:val="1108"/>
    <w:link w:val="151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141">
    <w:name w:val="Heading 3"/>
    <w:basedOn w:val="1108"/>
    <w:next w:val="1108"/>
    <w:link w:val="152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142">
    <w:name w:val="Heading 4"/>
    <w:basedOn w:val="1108"/>
    <w:next w:val="1108"/>
    <w:link w:val="15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43">
    <w:name w:val="Heading 5"/>
    <w:basedOn w:val="1108"/>
    <w:next w:val="1108"/>
    <w:link w:val="15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44">
    <w:name w:val="Heading 6"/>
    <w:basedOn w:val="1108"/>
    <w:next w:val="1108"/>
    <w:link w:val="15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45">
    <w:name w:val="Heading 7"/>
    <w:basedOn w:val="1108"/>
    <w:next w:val="1108"/>
    <w:link w:val="15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6">
    <w:name w:val="Heading 8"/>
    <w:basedOn w:val="1108"/>
    <w:next w:val="1108"/>
    <w:link w:val="15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7">
    <w:name w:val="Heading 9"/>
    <w:basedOn w:val="1108"/>
    <w:next w:val="1108"/>
    <w:link w:val="15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50">
    <w:name w:val="Heading 1 Char"/>
    <w:basedOn w:val="1109"/>
    <w:link w:val="13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1">
    <w:name w:val="Heading 2 Char"/>
    <w:basedOn w:val="1109"/>
    <w:link w:val="1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2">
    <w:name w:val="Heading 3 Char"/>
    <w:basedOn w:val="1109"/>
    <w:link w:val="14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3">
    <w:name w:val="Heading 4 Char"/>
    <w:basedOn w:val="1109"/>
    <w:link w:val="14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4">
    <w:name w:val="Heading 5 Char"/>
    <w:basedOn w:val="1109"/>
    <w:link w:val="14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5">
    <w:name w:val="Heading 6 Char"/>
    <w:basedOn w:val="1109"/>
    <w:link w:val="14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6">
    <w:name w:val="Heading 7 Char"/>
    <w:basedOn w:val="1109"/>
    <w:link w:val="14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7">
    <w:name w:val="Heading 8 Char"/>
    <w:basedOn w:val="1109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8">
    <w:name w:val="Heading 9 Char"/>
    <w:basedOn w:val="1109"/>
    <w:link w:val="14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60">
    <w:name w:val="Title Char"/>
    <w:basedOn w:val="1109"/>
    <w:link w:val="112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61">
    <w:name w:val="Subtitle"/>
    <w:basedOn w:val="1108"/>
    <w:next w:val="1108"/>
    <w:link w:val="16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2">
    <w:name w:val="Subtitle Char"/>
    <w:basedOn w:val="1109"/>
    <w:link w:val="16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3">
    <w:name w:val="Quote"/>
    <w:basedOn w:val="1108"/>
    <w:next w:val="1108"/>
    <w:link w:val="16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4">
    <w:name w:val="Quote Char"/>
    <w:basedOn w:val="1109"/>
    <w:link w:val="163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165">
    <w:name w:val="List Paragraph"/>
    <w:basedOn w:val="1108"/>
    <w:uiPriority w:val="34"/>
    <w:qFormat/>
    <w:pPr>
      <w:pBdr/>
      <w:spacing/>
      <w:ind w:left="720"/>
      <w:contextualSpacing w:val="true"/>
    </w:pPr>
  </w:style>
  <w:style w:type="character" w:styleId="166">
    <w:name w:val="Intense Emphasis"/>
    <w:basedOn w:val="110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7">
    <w:name w:val="Intense Quote"/>
    <w:basedOn w:val="1108"/>
    <w:next w:val="1108"/>
    <w:link w:val="168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8">
    <w:name w:val="Intense Quote Char"/>
    <w:basedOn w:val="1109"/>
    <w:link w:val="167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9">
    <w:name w:val="Intense Reference"/>
    <w:basedOn w:val="110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170">
    <w:name w:val="No Spacing"/>
    <w:basedOn w:val="1108"/>
    <w:uiPriority w:val="1"/>
    <w:qFormat/>
    <w:pPr>
      <w:pBdr/>
      <w:spacing w:after="0" w:line="240" w:lineRule="auto"/>
      <w:ind/>
    </w:pPr>
  </w:style>
  <w:style w:type="character" w:styleId="171">
    <w:name w:val="Subtle Emphasis"/>
    <w:basedOn w:val="110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2">
    <w:name w:val="Emphasis"/>
    <w:basedOn w:val="1109"/>
    <w:uiPriority w:val="20"/>
    <w:qFormat/>
    <w:pPr>
      <w:pBdr/>
      <w:spacing/>
      <w:ind/>
    </w:pPr>
    <w:rPr>
      <w:i/>
      <w:iCs/>
    </w:rPr>
  </w:style>
  <w:style w:type="character" w:styleId="173">
    <w:name w:val="Strong"/>
    <w:basedOn w:val="1109"/>
    <w:uiPriority w:val="22"/>
    <w:qFormat/>
    <w:pPr>
      <w:pBdr/>
      <w:spacing/>
      <w:ind/>
    </w:pPr>
    <w:rPr>
      <w:b/>
      <w:bCs/>
    </w:rPr>
  </w:style>
  <w:style w:type="character" w:styleId="174">
    <w:name w:val="Subtle Reference"/>
    <w:basedOn w:val="110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5">
    <w:name w:val="Book Title"/>
    <w:basedOn w:val="1109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177">
    <w:name w:val="Header Char"/>
    <w:basedOn w:val="1109"/>
    <w:link w:val="1134"/>
    <w:uiPriority w:val="99"/>
    <w:pPr>
      <w:pBdr/>
      <w:spacing/>
      <w:ind/>
    </w:pPr>
  </w:style>
  <w:style w:type="character" w:styleId="179">
    <w:name w:val="Footer Char"/>
    <w:basedOn w:val="1109"/>
    <w:link w:val="1135"/>
    <w:uiPriority w:val="99"/>
    <w:pPr>
      <w:pBdr/>
      <w:spacing/>
      <w:ind/>
    </w:pPr>
  </w:style>
  <w:style w:type="character" w:styleId="182">
    <w:name w:val="Footnote Text Char"/>
    <w:basedOn w:val="1109"/>
    <w:link w:val="1136"/>
    <w:uiPriority w:val="99"/>
    <w:semiHidden/>
    <w:pPr>
      <w:pBdr/>
      <w:spacing/>
      <w:ind/>
    </w:pPr>
    <w:rPr>
      <w:sz w:val="20"/>
      <w:szCs w:val="20"/>
    </w:rPr>
  </w:style>
  <w:style w:type="character" w:styleId="183">
    <w:name w:val="footnote reference"/>
    <w:basedOn w:val="1109"/>
    <w:uiPriority w:val="99"/>
    <w:semiHidden/>
    <w:unhideWhenUsed/>
    <w:pPr>
      <w:pBdr/>
      <w:spacing/>
      <w:ind/>
    </w:pPr>
    <w:rPr>
      <w:vertAlign w:val="superscript"/>
    </w:rPr>
  </w:style>
  <w:style w:type="character" w:styleId="185">
    <w:name w:val="Endnote Text Char"/>
    <w:basedOn w:val="1109"/>
    <w:link w:val="1137"/>
    <w:uiPriority w:val="99"/>
    <w:semiHidden/>
    <w:pPr>
      <w:pBdr/>
      <w:spacing/>
      <w:ind/>
    </w:pPr>
    <w:rPr>
      <w:sz w:val="20"/>
      <w:szCs w:val="20"/>
    </w:rPr>
  </w:style>
  <w:style w:type="character" w:styleId="186">
    <w:name w:val="endnote reference"/>
    <w:basedOn w:val="1109"/>
    <w:uiPriority w:val="99"/>
    <w:semiHidden/>
    <w:unhideWhenUsed/>
    <w:pPr>
      <w:pBdr/>
      <w:spacing/>
      <w:ind/>
    </w:pPr>
    <w:rPr>
      <w:vertAlign w:val="superscript"/>
    </w:rPr>
  </w:style>
  <w:style w:type="character" w:styleId="187">
    <w:name w:val="Hyperlink"/>
    <w:basedOn w:val="110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88">
    <w:name w:val="FollowedHyperlink"/>
    <w:basedOn w:val="110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89">
    <w:name w:val="toc 1"/>
    <w:basedOn w:val="1108"/>
    <w:next w:val="1108"/>
    <w:uiPriority w:val="39"/>
    <w:unhideWhenUsed/>
    <w:pPr>
      <w:pBdr/>
      <w:spacing w:after="100"/>
      <w:ind/>
    </w:pPr>
  </w:style>
  <w:style w:type="paragraph" w:styleId="190">
    <w:name w:val="toc 2"/>
    <w:basedOn w:val="1108"/>
    <w:next w:val="1108"/>
    <w:uiPriority w:val="39"/>
    <w:unhideWhenUsed/>
    <w:pPr>
      <w:pBdr/>
      <w:spacing w:after="100"/>
      <w:ind w:left="220"/>
    </w:pPr>
  </w:style>
  <w:style w:type="paragraph" w:styleId="191">
    <w:name w:val="toc 3"/>
    <w:basedOn w:val="1108"/>
    <w:next w:val="1108"/>
    <w:uiPriority w:val="39"/>
    <w:unhideWhenUsed/>
    <w:pPr>
      <w:pBdr/>
      <w:spacing w:after="100"/>
      <w:ind w:left="440"/>
    </w:pPr>
  </w:style>
  <w:style w:type="paragraph" w:styleId="192">
    <w:name w:val="toc 4"/>
    <w:basedOn w:val="1108"/>
    <w:next w:val="1108"/>
    <w:uiPriority w:val="39"/>
    <w:unhideWhenUsed/>
    <w:pPr>
      <w:pBdr/>
      <w:spacing w:after="100"/>
      <w:ind w:left="660"/>
    </w:pPr>
  </w:style>
  <w:style w:type="paragraph" w:styleId="193">
    <w:name w:val="toc 5"/>
    <w:basedOn w:val="1108"/>
    <w:next w:val="1108"/>
    <w:uiPriority w:val="39"/>
    <w:unhideWhenUsed/>
    <w:pPr>
      <w:pBdr/>
      <w:spacing w:after="100"/>
      <w:ind w:left="880"/>
    </w:pPr>
  </w:style>
  <w:style w:type="paragraph" w:styleId="194">
    <w:name w:val="toc 6"/>
    <w:basedOn w:val="1108"/>
    <w:next w:val="1108"/>
    <w:uiPriority w:val="39"/>
    <w:unhideWhenUsed/>
    <w:pPr>
      <w:pBdr/>
      <w:spacing w:after="100"/>
      <w:ind w:left="1100"/>
    </w:pPr>
  </w:style>
  <w:style w:type="paragraph" w:styleId="195">
    <w:name w:val="toc 7"/>
    <w:basedOn w:val="1108"/>
    <w:next w:val="1108"/>
    <w:uiPriority w:val="39"/>
    <w:unhideWhenUsed/>
    <w:pPr>
      <w:pBdr/>
      <w:spacing w:after="100"/>
      <w:ind w:left="1320"/>
    </w:pPr>
  </w:style>
  <w:style w:type="paragraph" w:styleId="196">
    <w:name w:val="toc 8"/>
    <w:basedOn w:val="1108"/>
    <w:next w:val="1108"/>
    <w:uiPriority w:val="39"/>
    <w:unhideWhenUsed/>
    <w:pPr>
      <w:pBdr/>
      <w:spacing w:after="100"/>
      <w:ind w:left="1540"/>
    </w:pPr>
  </w:style>
  <w:style w:type="paragraph" w:styleId="197">
    <w:name w:val="toc 9"/>
    <w:basedOn w:val="1108"/>
    <w:next w:val="1108"/>
    <w:uiPriority w:val="39"/>
    <w:unhideWhenUsed/>
    <w:pPr>
      <w:pBdr/>
      <w:spacing w:after="100"/>
      <w:ind w:left="1760"/>
    </w:pPr>
  </w:style>
  <w:style w:type="character" w:styleId="198">
    <w:name w:val="Placeholder Text"/>
    <w:basedOn w:val="1109"/>
    <w:uiPriority w:val="99"/>
    <w:semiHidden/>
    <w:pPr>
      <w:pBdr/>
      <w:spacing/>
      <w:ind/>
    </w:pPr>
    <w:rPr>
      <w:color w:val="666666"/>
    </w:rPr>
  </w:style>
  <w:style w:type="paragraph" w:styleId="208">
    <w:name w:val="TOC Heading"/>
    <w:uiPriority w:val="39"/>
    <w:unhideWhenUsed/>
    <w:pPr>
      <w:pBdr/>
      <w:spacing/>
      <w:ind/>
    </w:pPr>
  </w:style>
  <w:style w:type="paragraph" w:styleId="209">
    <w:name w:val="table of figures"/>
    <w:basedOn w:val="1108"/>
    <w:next w:val="1108"/>
    <w:uiPriority w:val="99"/>
    <w:unhideWhenUsed/>
    <w:pPr>
      <w:pBdr/>
      <w:spacing w:after="0" w:afterAutospacing="0"/>
      <w:ind/>
    </w:pPr>
  </w:style>
  <w:style w:type="paragraph" w:styleId="1108" w:default="1">
    <w:name w:val="Normal"/>
    <w:qFormat/>
    <w:pPr>
      <w:pBdr/>
      <w:spacing/>
      <w:ind/>
    </w:pPr>
    <w:rPr>
      <w:rFonts w:ascii="Times New Roman" w:hAnsi="Times New Roman" w:eastAsia="Times New Roman" w:cs="Times New Roman"/>
      <w:color w:val="00000a"/>
      <w:sz w:val="24"/>
      <w:lang w:bidi="ar-SA"/>
    </w:rPr>
  </w:style>
  <w:style w:type="character" w:styleId="1109" w:default="1">
    <w:name w:val="Default Paragraph Font"/>
    <w:uiPriority w:val="1"/>
    <w:semiHidden/>
    <w:unhideWhenUsed/>
    <w:pPr>
      <w:pBdr/>
      <w:spacing/>
      <w:ind/>
    </w:pPr>
  </w:style>
  <w:style w:type="table" w:styleId="1110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1111" w:default="1">
    <w:name w:val="No List"/>
    <w:uiPriority w:val="99"/>
    <w:semiHidden/>
    <w:unhideWhenUsed/>
    <w:pPr>
      <w:pBdr/>
      <w:spacing/>
      <w:ind/>
    </w:pPr>
  </w:style>
  <w:style w:type="character" w:styleId="1112" w:customStyle="1">
    <w:name w:val="WW8Num1z0"/>
    <w:qFormat/>
    <w:pPr>
      <w:pBdr/>
      <w:spacing/>
      <w:ind/>
    </w:pPr>
    <w:rPr>
      <w:rFonts w:ascii="Symbol" w:hAnsi="Symbol" w:cs="Symbol"/>
    </w:rPr>
  </w:style>
  <w:style w:type="character" w:styleId="1113" w:customStyle="1">
    <w:name w:val="WW8Num1z2"/>
    <w:qFormat/>
    <w:pPr>
      <w:pBdr/>
      <w:spacing/>
      <w:ind/>
    </w:pPr>
    <w:rPr>
      <w:rFonts w:ascii="Courier New" w:hAnsi="Courier New" w:cs="Courier New"/>
    </w:rPr>
  </w:style>
  <w:style w:type="character" w:styleId="1114" w:customStyle="1">
    <w:name w:val="WW8Num1z3"/>
    <w:qFormat/>
    <w:pPr>
      <w:pBdr/>
      <w:spacing/>
      <w:ind/>
    </w:pPr>
    <w:rPr>
      <w:rFonts w:ascii="Wingdings" w:hAnsi="Wingdings" w:cs="Wingdings"/>
    </w:rPr>
  </w:style>
  <w:style w:type="character" w:styleId="1115" w:customStyle="1">
    <w:name w:val="WW8Num2z0"/>
    <w:qFormat/>
    <w:pPr>
      <w:pBdr/>
      <w:spacing/>
      <w:ind/>
    </w:pPr>
    <w:rPr>
      <w:rFonts w:ascii="Symbol" w:hAnsi="Symbol" w:cs="Symbol"/>
    </w:rPr>
  </w:style>
  <w:style w:type="character" w:styleId="1116" w:customStyle="1">
    <w:name w:val="WW8Num2z1"/>
    <w:qFormat/>
    <w:pPr>
      <w:pBdr/>
      <w:spacing/>
      <w:ind/>
    </w:pPr>
    <w:rPr>
      <w:rFonts w:ascii="Courier New" w:hAnsi="Courier New" w:cs="Arial"/>
    </w:rPr>
  </w:style>
  <w:style w:type="character" w:styleId="1117" w:customStyle="1">
    <w:name w:val="WW8Num2z2"/>
    <w:qFormat/>
    <w:pPr>
      <w:pBdr/>
      <w:spacing/>
      <w:ind/>
    </w:pPr>
    <w:rPr>
      <w:rFonts w:ascii="Wingdings" w:hAnsi="Wingdings" w:cs="Wingdings"/>
    </w:rPr>
  </w:style>
  <w:style w:type="character" w:styleId="1118" w:customStyle="1">
    <w:name w:val="Cabeçalho Char"/>
    <w:qFormat/>
    <w:pPr>
      <w:pBdr/>
      <w:spacing/>
      <w:ind/>
    </w:pPr>
    <w:rPr>
      <w:sz w:val="24"/>
      <w:szCs w:val="24"/>
    </w:rPr>
  </w:style>
  <w:style w:type="character" w:styleId="1119" w:customStyle="1">
    <w:name w:val="Rodapé Char"/>
    <w:uiPriority w:val="99"/>
    <w:qFormat/>
    <w:pPr>
      <w:pBdr/>
      <w:spacing/>
      <w:ind/>
    </w:pPr>
    <w:rPr>
      <w:sz w:val="24"/>
      <w:szCs w:val="24"/>
    </w:rPr>
  </w:style>
  <w:style w:type="character" w:styleId="1120" w:customStyle="1">
    <w:name w:val="Texto de nota de rodapé Char"/>
    <w:qFormat/>
    <w:pPr>
      <w:pBdr/>
      <w:spacing/>
      <w:ind/>
    </w:pPr>
    <w:rPr>
      <w:sz w:val="24"/>
      <w:szCs w:val="24"/>
    </w:rPr>
  </w:style>
  <w:style w:type="character" w:styleId="1121" w:customStyle="1">
    <w:name w:val="Caracteres de nota de rodapé"/>
    <w:qFormat/>
    <w:pPr>
      <w:pBdr/>
      <w:spacing/>
      <w:ind/>
    </w:pPr>
    <w:rPr>
      <w:vertAlign w:val="superscript"/>
    </w:rPr>
  </w:style>
  <w:style w:type="character" w:styleId="1122" w:customStyle="1">
    <w:name w:val="Texto de nota de fim Char"/>
    <w:qFormat/>
    <w:pPr>
      <w:pBdr/>
      <w:spacing/>
      <w:ind/>
    </w:pPr>
    <w:rPr>
      <w:sz w:val="24"/>
      <w:szCs w:val="24"/>
    </w:rPr>
  </w:style>
  <w:style w:type="character" w:styleId="1123" w:customStyle="1">
    <w:name w:val="Caracteres de nota de fim"/>
    <w:qFormat/>
    <w:pPr>
      <w:pBdr/>
      <w:spacing/>
      <w:ind/>
    </w:pPr>
    <w:rPr>
      <w:vertAlign w:val="superscript"/>
    </w:rPr>
  </w:style>
  <w:style w:type="character" w:styleId="1124">
    <w:name w:val="annotation reference"/>
    <w:qFormat/>
    <w:pPr>
      <w:pBdr/>
      <w:spacing/>
      <w:ind/>
    </w:pPr>
    <w:rPr>
      <w:sz w:val="18"/>
      <w:szCs w:val="18"/>
    </w:rPr>
  </w:style>
  <w:style w:type="character" w:styleId="1125" w:customStyle="1">
    <w:name w:val="Texto de comentário Char"/>
    <w:qFormat/>
    <w:pPr>
      <w:pBdr/>
      <w:spacing/>
      <w:ind/>
    </w:pPr>
    <w:rPr>
      <w:sz w:val="24"/>
      <w:szCs w:val="24"/>
    </w:rPr>
  </w:style>
  <w:style w:type="character" w:styleId="1126" w:customStyle="1">
    <w:name w:val="Assunto do comentário Char"/>
    <w:qFormat/>
    <w:pPr>
      <w:pBdr/>
      <w:spacing/>
      <w:ind/>
    </w:pPr>
    <w:rPr>
      <w:b/>
      <w:bCs/>
      <w:sz w:val="24"/>
      <w:szCs w:val="24"/>
    </w:rPr>
  </w:style>
  <w:style w:type="character" w:styleId="1127" w:customStyle="1">
    <w:name w:val="Texto de balão Char"/>
    <w:qFormat/>
    <w:pPr>
      <w:pBdr/>
      <w:spacing/>
      <w:ind/>
    </w:pPr>
    <w:rPr>
      <w:rFonts w:ascii="Lucida Grande;Arial" w:hAnsi="Lucida Grande;Arial" w:cs="Lucida Grande;Arial"/>
      <w:sz w:val="18"/>
      <w:szCs w:val="18"/>
    </w:rPr>
  </w:style>
  <w:style w:type="character" w:styleId="1128" w:customStyle="1">
    <w:name w:val="Corpo de texto 2 Char"/>
    <w:basedOn w:val="1109"/>
    <w:qFormat/>
    <w:pPr>
      <w:pBdr/>
      <w:spacing/>
      <w:ind/>
    </w:pPr>
  </w:style>
  <w:style w:type="paragraph" w:styleId="1129">
    <w:name w:val="Title"/>
    <w:basedOn w:val="1108"/>
    <w:next w:val="1130"/>
    <w:qFormat/>
    <w:pPr>
      <w:keepNext w:val="true"/>
      <w:pBdr/>
      <w:spacing w:after="120" w:before="240"/>
      <w:ind/>
    </w:pPr>
    <w:rPr>
      <w:rFonts w:ascii="Liberation Sans" w:hAnsi="Liberation Sans" w:eastAsia="Microsoft YaHei" w:cs="Lucida Sans"/>
      <w:sz w:val="28"/>
      <w:szCs w:val="28"/>
    </w:rPr>
  </w:style>
  <w:style w:type="paragraph" w:styleId="1130">
    <w:name w:val="Body Text"/>
    <w:basedOn w:val="1108"/>
    <w:pPr>
      <w:pBdr/>
      <w:spacing w:after="140" w:line="288" w:lineRule="auto"/>
      <w:ind/>
    </w:pPr>
  </w:style>
  <w:style w:type="paragraph" w:styleId="1131">
    <w:name w:val="List"/>
    <w:basedOn w:val="1130"/>
    <w:pPr>
      <w:pBdr/>
      <w:spacing/>
      <w:ind/>
    </w:pPr>
    <w:rPr>
      <w:rFonts w:cs="Lucida Sans"/>
    </w:rPr>
  </w:style>
  <w:style w:type="paragraph" w:styleId="1132">
    <w:name w:val="Caption"/>
    <w:basedOn w:val="1108"/>
    <w:qFormat/>
    <w:pPr>
      <w:suppressLineNumbers w:val="true"/>
      <w:pBdr/>
      <w:spacing w:after="120" w:before="120"/>
      <w:ind/>
    </w:pPr>
    <w:rPr>
      <w:rFonts w:cs="Lucida Sans"/>
      <w:i/>
      <w:iCs/>
    </w:rPr>
  </w:style>
  <w:style w:type="paragraph" w:styleId="1133" w:customStyle="1">
    <w:name w:val="Índice"/>
    <w:basedOn w:val="1108"/>
    <w:qFormat/>
    <w:pPr>
      <w:suppressLineNumbers w:val="true"/>
      <w:pBdr/>
      <w:spacing/>
      <w:ind/>
    </w:pPr>
    <w:rPr>
      <w:rFonts w:cs="Lucida Sans"/>
    </w:rPr>
  </w:style>
  <w:style w:type="paragraph" w:styleId="1134">
    <w:name w:val="Header"/>
    <w:basedOn w:val="1108"/>
    <w:pPr>
      <w:pBdr/>
      <w:tabs>
        <w:tab w:val="center" w:leader="none" w:pos="4252"/>
        <w:tab w:val="right" w:leader="none" w:pos="8504"/>
      </w:tabs>
      <w:spacing/>
      <w:ind/>
    </w:pPr>
  </w:style>
  <w:style w:type="paragraph" w:styleId="1135">
    <w:name w:val="Footer"/>
    <w:basedOn w:val="1108"/>
    <w:uiPriority w:val="99"/>
    <w:pPr>
      <w:pBdr/>
      <w:tabs>
        <w:tab w:val="center" w:leader="none" w:pos="4252"/>
        <w:tab w:val="right" w:leader="none" w:pos="8504"/>
      </w:tabs>
      <w:spacing/>
      <w:ind/>
    </w:pPr>
  </w:style>
  <w:style w:type="paragraph" w:styleId="1136">
    <w:name w:val="footnote text"/>
    <w:basedOn w:val="1108"/>
    <w:qFormat/>
    <w:pPr>
      <w:pBdr/>
      <w:spacing/>
      <w:ind/>
    </w:pPr>
  </w:style>
  <w:style w:type="paragraph" w:styleId="1137">
    <w:name w:val="endnote text"/>
    <w:basedOn w:val="1108"/>
    <w:qFormat/>
    <w:pPr>
      <w:pBdr/>
      <w:spacing/>
      <w:ind/>
    </w:pPr>
  </w:style>
  <w:style w:type="paragraph" w:styleId="1138">
    <w:name w:val="annotation text"/>
    <w:basedOn w:val="1108"/>
    <w:qFormat/>
    <w:pPr>
      <w:pBdr/>
      <w:spacing/>
      <w:ind/>
    </w:pPr>
  </w:style>
  <w:style w:type="paragraph" w:styleId="1139">
    <w:name w:val="annotation subject"/>
    <w:basedOn w:val="1138"/>
    <w:qFormat/>
    <w:pPr>
      <w:pBdr/>
      <w:spacing/>
      <w:ind/>
    </w:pPr>
    <w:rPr>
      <w:b/>
      <w:bCs/>
      <w:sz w:val="20"/>
      <w:szCs w:val="20"/>
    </w:rPr>
  </w:style>
  <w:style w:type="paragraph" w:styleId="1140">
    <w:name w:val="Balloon Text"/>
    <w:basedOn w:val="1108"/>
    <w:qFormat/>
    <w:pPr>
      <w:pBdr/>
      <w:spacing/>
      <w:ind/>
    </w:pPr>
    <w:rPr>
      <w:rFonts w:ascii="Lucida Grande;Arial" w:hAnsi="Lucida Grande;Arial" w:cs="Lucida Grande;Arial"/>
      <w:sz w:val="18"/>
      <w:szCs w:val="18"/>
    </w:rPr>
  </w:style>
  <w:style w:type="paragraph" w:styleId="1141" w:customStyle="1">
    <w:name w:val="Lista Colorida - Ênfase 11"/>
    <w:basedOn w:val="1108"/>
    <w:qFormat/>
    <w:pPr>
      <w:pBdr/>
      <w:spacing w:after="200" w:line="276" w:lineRule="auto"/>
      <w:ind w:left="720"/>
      <w:contextualSpacing w:val="true"/>
      <w:jc w:val="both"/>
    </w:pPr>
    <w:rPr>
      <w:rFonts w:ascii="Calibri" w:hAnsi="Calibri" w:eastAsia="Calibri" w:cs="Calibri"/>
      <w:sz w:val="22"/>
      <w:szCs w:val="22"/>
    </w:rPr>
  </w:style>
  <w:style w:type="paragraph" w:styleId="1142">
    <w:name w:val="Body Text 2"/>
    <w:basedOn w:val="1108"/>
    <w:qFormat/>
    <w:pPr>
      <w:pBdr/>
      <w:spacing w:after="120" w:line="480" w:lineRule="auto"/>
      <w:ind/>
    </w:pPr>
    <w:rPr>
      <w:sz w:val="20"/>
      <w:szCs w:val="20"/>
    </w:rPr>
  </w:style>
  <w:style w:type="paragraph" w:styleId="1143" w:customStyle="1">
    <w:name w:val="Conteúdo da tabela"/>
    <w:basedOn w:val="1108"/>
    <w:qFormat/>
    <w:pPr>
      <w:suppressLineNumbers w:val="true"/>
      <w:pBdr/>
      <w:spacing/>
      <w:ind/>
    </w:pPr>
  </w:style>
  <w:style w:type="paragraph" w:styleId="1144" w:customStyle="1">
    <w:name w:val="Título de tabela"/>
    <w:basedOn w:val="1143"/>
    <w:qFormat/>
    <w:pPr>
      <w:pBdr/>
      <w:spacing/>
      <w:ind/>
      <w:jc w:val="center"/>
    </w:pPr>
    <w:rPr>
      <w:b/>
      <w:bCs/>
    </w:rPr>
  </w:style>
  <w:style w:type="numbering" w:styleId="1145" w:customStyle="1">
    <w:name w:val="WW8Num1"/>
    <w:qFormat/>
    <w:pPr>
      <w:pBdr/>
      <w:spacing/>
      <w:ind/>
    </w:pPr>
  </w:style>
  <w:style w:type="numbering" w:styleId="1146" w:customStyle="1">
    <w:name w:val="WW8Num2"/>
    <w:qFormat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Relationship Id="rId13" Type="http://schemas.openxmlformats.org/officeDocument/2006/relationships/footer" Target="footer2.xml" /><Relationship Id="rId14" Type="http://schemas.openxmlformats.org/officeDocument/2006/relationships/footer" Target="footer3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ATA Nº 001/09 DE REUNIÃO ORDINÁRIA DO NÚCLEO DOCENTE ESTRUTURANTE DO CURSO DE RÁDIO E TELEVISÃO, DA FACULDADE DE COMUNICAÇÃO E ARTES – FCA, DO CENTRO UNIVERSITÁRIO NOSSA SENHORA DO PATROCÍNIO - CEUNSP, REALIZADA NO DIA 19 DE JANEIRO DE 2009</dc:title>
  <dc:subject/>
  <dc:creator>FrancieleF</dc:creator>
  <dc:description/>
  <dc:language>pt-BR</dc:language>
  <cp:revision>5</cp:revision>
  <dcterms:created xsi:type="dcterms:W3CDTF">2025-07-04T14:28:00Z</dcterms:created>
  <dcterms:modified xsi:type="dcterms:W3CDTF">2026-05-12T11:40:30Z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