
<file path=[Content_Types].xml><?xml version="1.0" encoding="utf-8"?>
<Types xmlns="http://schemas.openxmlformats.org/package/2006/content-types">
  <Default Extension="jpg" ContentType="image/jpeg"/>
  <Default Extension="bin" ContentType="application/vnd.openxmlformats-officedocument.oleObject"/>
  <Default Extension="jpeg" ContentType="image/jpeg"/>
  <Default Extension="rels" ContentType="application/vnd.openxmlformats-package.relationships+xml"/>
  <Default Extension="xml" ContentType="application/xml"/>
  <Default Extension="png" ContentType="image/png"/>
  <Default Extension="wmf" ContentType="image/x-wmf"/>
  <Default Extension="svg" ContentType="image/svg+xml"/>
  <Override PartName="/customXml/itemProps1.xml" ContentType="application/vnd.openxmlformats-officedocument.customXmlProperties+xml"/>
  <Override PartName="/word/webSettings.xml" ContentType="application/vnd.openxmlformats-officedocument.wordprocessingml.webSettings+xml"/>
  <Override PartName="/word/settings.xml" ContentType="application/vnd.openxmlformats-officedocument.wordprocessingml.settings+xml"/>
  <Override PartName="/customXml/itemProps2.xml" ContentType="application/vnd.openxmlformats-officedocument.customXmlProperties+xml"/>
  <Override PartName="/word/styles.xml" ContentType="application/vnd.openxmlformats-officedocument.wordprocessingml.styles+xml"/>
  <Override PartName="/customXml/itemProps3.xml" ContentType="application/vnd.openxmlformats-officedocument.customXmlProperties+xml"/>
  <Override PartName="/word/numbering.xml" ContentType="application/vnd.openxmlformats-officedocument.wordprocessingml.numbering+xml"/>
  <Override PartName="/customXml/itemProps4.xml" ContentType="application/vnd.openxmlformats-officedocument.customXmlProperties+xml"/>
  <Override PartName="/word/document.xml" ContentType="application/vnd.openxmlformats-officedocument.wordprocessingml.document.main+xml"/>
  <Override PartName="/word/fontTable.xml" ContentType="application/vnd.openxmlformats-officedocument.wordprocessingml.fontTable+xml"/>
  <Override PartName="/word/theme/theme1.xml" ContentType="application/vnd.openxmlformats-officedocument.theme+xml"/>
  <Override PartName="/word/footnotes.xml" ContentType="application/vnd.openxmlformats-officedocument.wordprocessingml.footnotes+xml"/>
  <Override PartName="/word/endnotes.xml" ContentType="application/vnd.openxmlformats-officedocument.wordprocessingml.endnotes+xml"/>
  <Override PartName="/docProps/app.xml" ContentType="application/vnd.openxmlformats-officedocument.extended-properties+xml"/>
  <Override PartName="/docProps/core.xml" ContentType="application/vnd.openxmlformats-package.core-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Bdr/>
        <w:spacing/>
        <w:ind/>
        <w:rPr/>
      </w:pPr>
      <w:r>
        <mc:AlternateContent>
          <mc:Choice Requires="wpg">
            <w:drawing>
              <wp:anchor xmlns:wp="http://schemas.openxmlformats.org/drawingml/2006/wordprocessingDrawing" xmlns:wp14="http://schemas.microsoft.com/office/word/2010/wordprocessingDrawing" distT="0" distB="0" distL="114300" distR="114300" simplePos="0" relativeHeight="251659264" behindDoc="1" locked="0" layoutInCell="1" allowOverlap="1">
                <wp:simplePos x="0" y="0"/>
                <wp:positionH relativeFrom="page">
                  <wp:posOffset>-25400</wp:posOffset>
                </wp:positionH>
                <wp:positionV relativeFrom="paragraph">
                  <wp:posOffset>-899795</wp:posOffset>
                </wp:positionV>
                <wp:extent cx="7602020" cy="10744200"/>
                <wp:effectExtent l="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82"/>
                        <pic:cNvPicPr>
                          <a:picLocks noChangeAspect="1"/>
                        </pic:cNvPicPr>
                        <pic:nvPr/>
                      </pic:nvPicPr>
                      <pic:blipFill rotWithShape="1">
                        <a:blip r:embed="rId13"/>
                        <a:stretch/>
                      </pic:blipFill>
                      <pic:spPr bwMode="auto">
                        <a:xfrm>
                          <a:off x="0" y="0"/>
                          <a:ext cx="7606855" cy="10751034"/>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page;margin-left:-2.00pt;mso-position-horizontal:absolute;mso-position-vertical-relative:text;margin-top:-70.85pt;mso-position-vertical:absolute;width:598.58pt;height:846.00pt;mso-wrap-distance-left:9.00pt;mso-wrap-distance-top:0.00pt;mso-wrap-distance-right:9.00pt;mso-wrap-distance-bottom:0.00pt;z-index:1;" stroked="f">
                <v:imagedata r:id="rId13" o:title=""/>
                <o:lock v:ext="edit" rotation="t"/>
              </v:shape>
            </w:pict>
          </mc:Fallback>
        </mc:AlternateContent>
      </w:r>
      <w:r/>
    </w:p>
    <w:p>
      <w:pPr>
        <w:pBdr/>
        <w:spacing/>
        <w:ind/>
        <w:rPr/>
      </w:pPr>
      <w:r>
        <mc:AlternateContent>
          <mc:Choice Requires="wpg">
            <w:drawing>
              <wp:anchor xmlns:wp="http://schemas.openxmlformats.org/drawingml/2006/wordprocessingDrawing" xmlns:wp14="http://schemas.microsoft.com/office/word/2010/wordprocessingDrawing" distT="0" distB="0" distL="114300" distR="114300" simplePos="0" relativeHeight="251656192" behindDoc="0" locked="0" layoutInCell="1" allowOverlap="1">
                <wp:simplePos x="0" y="0"/>
                <wp:positionH relativeFrom="margin">
                  <wp:posOffset>626745</wp:posOffset>
                </wp:positionH>
                <wp:positionV relativeFrom="paragraph">
                  <wp:posOffset>3089275</wp:posOffset>
                </wp:positionV>
                <wp:extent cx="4789170" cy="1906905"/>
                <wp:effectExtent l="0" t="0" r="0" b="0"/>
                <wp:wrapThrough wrapText="bothSides">
                  <wp:wrapPolygon edited="1">
                    <wp:start x="172" y="0"/>
                    <wp:lineTo x="172" y="21363"/>
                    <wp:lineTo x="21308" y="21363"/>
                    <wp:lineTo x="21308" y="0"/>
                    <wp:lineTo x="172" y="0"/>
                  </wp:wrapPolygon>
                </wp:wrapThrough>
                <wp:docPr id="2" name="Text Box 3"/>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4789170" cy="1906905"/>
                        </a:xfrm>
                        <a:prstGeom prst="rect">
                          <a:avLst/>
                        </a:prstGeom>
                        <a:noFill/>
                        <a:ln>
                          <a:noFill/>
                        </a:ln>
                      </wps:spPr>
                      <wps:txbx>
                        <w:txbxContent>
                          <w:p>
                            <w:pPr>
                              <w:pBdr/>
                              <w:spacing w:after="0" w:line="240" w:lineRule="auto"/>
                              <w:ind/>
                              <w:jc w:val="center"/>
                              <w:rPr>
                                <w:rFonts w:asciiTheme="minorHAnsi" w:hAnsiTheme="minorHAnsi" w:cstheme="minorHAnsi"/>
                                <w:color w:val="242424"/>
                                <w:sz w:val="52"/>
                                <w:szCs w:val="52"/>
                                <w:shd w:val="clear" w:color="auto" w:fill="ffffff"/>
                              </w:rPr>
                            </w:pPr>
                            <w:r>
                              <w:rPr>
                                <w:rFonts w:asciiTheme="minorHAnsi" w:hAnsiTheme="minorHAnsi" w:cstheme="minorHAnsi"/>
                                <w:color w:val="242424"/>
                                <w:sz w:val="52"/>
                                <w:szCs w:val="52"/>
                                <w:shd w:val="clear" w:color="auto" w:fill="ffffff"/>
                              </w:rPr>
                              <w:t xml:space="preserve">Estudo do Contexto Loco Regional e as Demandas do Mercado de Trabalho</w:t>
                            </w:r>
                            <w:r>
                              <w:rPr>
                                <w:rFonts w:asciiTheme="minorHAnsi" w:hAnsiTheme="minorHAnsi" w:cstheme="minorHAnsi"/>
                                <w:color w:val="242424"/>
                                <w:sz w:val="52"/>
                                <w:szCs w:val="52"/>
                                <w:shd w:val="clear" w:color="auto" w:fill="ffffff"/>
                              </w:rPr>
                            </w:r>
                            <w:r>
                              <w:rPr>
                                <w:rFonts w:asciiTheme="minorHAnsi" w:hAnsiTheme="minorHAnsi" w:cstheme="minorHAnsi"/>
                                <w:color w:val="242424"/>
                                <w:sz w:val="52"/>
                                <w:szCs w:val="52"/>
                                <w:shd w:val="clear" w:color="auto" w:fill="ffffff"/>
                              </w:rPr>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shape 1" o:spid="_x0000_s1" o:spt="202" type="#_x0000_t202" style="position:absolute;z-index:251656192;o:allowoverlap:true;o:allowincell:true;mso-position-horizontal-relative:margin;margin-left:49.35pt;mso-position-horizontal:absolute;mso-position-vertical-relative:text;margin-top:243.25pt;mso-position-vertical:absolute;width:377.10pt;height:150.15pt;mso-wrap-distance-left:9.00pt;mso-wrap-distance-top:0.00pt;mso-wrap-distance-right:9.00pt;mso-wrap-distance-bottom:0.00pt;visibility:visible;" wrapcoords="796 0 796 98903 98648 98903 98648 0 796 0" filled="f" stroked="f">
                <w10:wrap type="through"/>
                <v:textbox inset="0,0,0,0">
                  <w:txbxContent>
                    <w:p>
                      <w:pPr>
                        <w:pBdr/>
                        <w:spacing w:after="0" w:line="240" w:lineRule="auto"/>
                        <w:ind/>
                        <w:jc w:val="center"/>
                        <w:rPr>
                          <w:rFonts w:asciiTheme="minorHAnsi" w:hAnsiTheme="minorHAnsi" w:cstheme="minorHAnsi"/>
                          <w:color w:val="242424"/>
                          <w:sz w:val="52"/>
                          <w:szCs w:val="52"/>
                          <w:shd w:val="clear" w:color="auto" w:fill="ffffff"/>
                        </w:rPr>
                      </w:pPr>
                      <w:r>
                        <w:rPr>
                          <w:rFonts w:asciiTheme="minorHAnsi" w:hAnsiTheme="minorHAnsi" w:cstheme="minorHAnsi"/>
                          <w:color w:val="242424"/>
                          <w:sz w:val="52"/>
                          <w:szCs w:val="52"/>
                          <w:shd w:val="clear" w:color="auto" w:fill="ffffff"/>
                        </w:rPr>
                        <w:t xml:space="preserve">Estudo do Contexto Loco Regional e as Demandas do Mercado de Trabalho</w:t>
                      </w:r>
                      <w:r>
                        <w:rPr>
                          <w:rFonts w:asciiTheme="minorHAnsi" w:hAnsiTheme="minorHAnsi" w:cstheme="minorHAnsi"/>
                          <w:color w:val="242424"/>
                          <w:sz w:val="52"/>
                          <w:szCs w:val="52"/>
                          <w:shd w:val="clear" w:color="auto" w:fill="ffffff"/>
                        </w:rPr>
                      </w:r>
                      <w:r>
                        <w:rPr>
                          <w:rFonts w:asciiTheme="minorHAnsi" w:hAnsiTheme="minorHAnsi" w:cstheme="minorHAnsi"/>
                          <w:color w:val="242424"/>
                          <w:sz w:val="52"/>
                          <w:szCs w:val="52"/>
                          <w:shd w:val="clear" w:color="auto" w:fill="ffffff"/>
                        </w:rPr>
                      </w:r>
                    </w:p>
                  </w:txbxContent>
                </v:textbox>
              </v:shape>
            </w:pict>
          </mc:Fallback>
        </mc:AlternateContent>
      </w:r>
      <w:r>
        <w:br w:type="page" w:clear="all"/>
      </w:r>
      <w:r/>
    </w:p>
    <w:p>
      <w:pPr>
        <w:pBdr/>
        <w:spacing/>
        <w:ind w:firstLine="708"/>
        <w:jc w:val="both"/>
        <w:rPr>
          <w:rFonts w:ascii="Arial" w:hAnsi="Arial" w:cs="Arial"/>
          <w:b/>
          <w:bCs/>
          <w:sz w:val="24"/>
          <w:szCs w:val="24"/>
        </w:rPr>
      </w:pPr>
      <w:r>
        <w:rPr>
          <w:rFonts w:ascii="Arial" w:hAnsi="Arial" w:cs="Arial"/>
          <w:b/>
          <w:bCs/>
          <w:sz w:val="24"/>
          <w:szCs w:val="24"/>
        </w:rPr>
        <w:t xml:space="preserve">1 – Articulação do Curso</w:t>
      </w:r>
      <w:r>
        <w:rPr>
          <w:rFonts w:ascii="Arial" w:hAnsi="Arial" w:cs="Arial"/>
          <w:b/>
          <w:bCs/>
          <w:sz w:val="24"/>
          <w:szCs w:val="24"/>
        </w:rPr>
      </w:r>
      <w:r>
        <w:rPr>
          <w:rFonts w:ascii="Arial" w:hAnsi="Arial" w:cs="Arial"/>
          <w:b/>
          <w:bCs/>
          <w:sz w:val="24"/>
          <w:szCs w:val="24"/>
        </w:rPr>
      </w:r>
    </w:p>
    <w:p>
      <w:pPr>
        <w:pBdr/>
        <w:spacing/>
        <w:ind w:firstLine="708"/>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pacing w:line="360" w:lineRule="auto"/>
        <w:ind w:firstLine="708"/>
        <w:jc w:val="both"/>
        <w:rPr>
          <w:rFonts w:ascii="Arial" w:hAnsi="Arial" w:cs="Arial"/>
          <w:sz w:val="24"/>
          <w:szCs w:val="24"/>
        </w:rPr>
      </w:pPr>
      <w:r>
        <w:rPr>
          <w:rFonts w:ascii="Arial" w:hAnsi="Arial" w:cs="Arial"/>
          <w:sz w:val="24"/>
          <w:szCs w:val="24"/>
        </w:rPr>
        <w:t xml:space="preserve">O curso de Processos Gerenciais do CEUNSP é moldado por uma grade inovadora que visa não apenas atender às demandas do mercado, mas também preparar os alunos para desafios reais enfrentados na região Sudeste do Brasil. Esta região, co</w:t>
      </w:r>
      <w:r>
        <w:rPr>
          <w:rFonts w:ascii="Arial" w:hAnsi="Arial" w:cs="Arial"/>
          <w:sz w:val="24"/>
          <w:szCs w:val="24"/>
        </w:rPr>
        <w:t xml:space="preserve">mposta por quatro estados - Rio de Janeiro, São Paulo, Minas Gerais e Espírito Santo - destaca-se por ser a mais desenvolvida do país, contribuindo com mais da metade do Produto Interno Bruto (PIB) nacional e abrigando cerca de 44% da população brasileira.</w:t>
      </w:r>
      <w:r>
        <w:rPr>
          <w:rFonts w:ascii="Arial" w:hAnsi="Arial" w:cs="Arial"/>
          <w:sz w:val="24"/>
          <w:szCs w:val="24"/>
        </w:rPr>
      </w:r>
      <w:r>
        <w:rPr>
          <w:rFonts w:ascii="Arial" w:hAnsi="Arial" w:cs="Arial"/>
          <w:sz w:val="24"/>
          <w:szCs w:val="24"/>
        </w:rPr>
      </w:r>
    </w:p>
    <w:p>
      <w:pPr>
        <w:pBdr/>
        <w:spacing w:line="360" w:lineRule="auto"/>
        <w:ind w:firstLine="708"/>
        <w:jc w:val="both"/>
        <w:rPr>
          <w:rFonts w:ascii="Arial" w:hAnsi="Arial" w:cs="Arial"/>
          <w:sz w:val="24"/>
          <w:szCs w:val="24"/>
        </w:rPr>
      </w:pPr>
      <w:r>
        <w:rPr>
          <w:rFonts w:ascii="Arial" w:hAnsi="Arial" w:cs="Arial"/>
          <w:sz w:val="24"/>
          <w:szCs w:val="24"/>
        </w:rPr>
        <w:t xml:space="preserve">Particularmente, </w:t>
      </w:r>
      <w:r>
        <w:rPr>
          <w:rFonts w:ascii="Arial" w:hAnsi="Arial" w:cs="Arial"/>
          <w:sz w:val="24"/>
          <w:szCs w:val="24"/>
        </w:rPr>
        <w:t xml:space="preserve">o Estado de São Paulo é um polo econômico significativo, com o maior PIB do país e um parque industrial robusto. O município de Itu, onde está localizado o CEUNSP, insere-se na Região Metropolitana de Sorocaba, uma área que abriga indústrias diversificadas</w:t>
      </w:r>
      <w:r>
        <w:rPr>
          <w:rFonts w:ascii="Arial" w:hAnsi="Arial" w:cs="Arial"/>
          <w:sz w:val="24"/>
          <w:szCs w:val="24"/>
        </w:rPr>
        <w:t xml:space="preserve"> e que demanda constantemente profissionais qualificados na área de Gestão da Qualidade. A forte presença de setores industriais, como mecânica, eletroeletrônica e agronegócios, ressalta a importância de uma formação que combine teoria, prática e inovação.</w:t>
      </w:r>
      <w:r>
        <w:rPr>
          <w:rFonts w:ascii="Arial" w:hAnsi="Arial" w:cs="Arial"/>
          <w:sz w:val="24"/>
          <w:szCs w:val="24"/>
        </w:rPr>
      </w:r>
      <w:r>
        <w:rPr>
          <w:rFonts w:ascii="Arial" w:hAnsi="Arial" w:cs="Arial"/>
          <w:sz w:val="24"/>
          <w:szCs w:val="24"/>
        </w:rPr>
      </w:r>
    </w:p>
    <w:p>
      <w:pPr>
        <w:pBdr/>
        <w:spacing w:line="360" w:lineRule="auto"/>
        <w:ind w:firstLine="708"/>
        <w:jc w:val="both"/>
        <w:rPr>
          <w:rFonts w:ascii="Arial" w:hAnsi="Arial" w:cs="Arial"/>
          <w:sz w:val="24"/>
          <w:szCs w:val="24"/>
        </w:rPr>
      </w:pPr>
      <w:r>
        <w:rPr>
          <w:rFonts w:ascii="Arial" w:hAnsi="Arial" w:cs="Arial"/>
          <w:sz w:val="24"/>
          <w:szCs w:val="24"/>
        </w:rPr>
        <w:t xml:space="preserve">O cu</w:t>
      </w:r>
      <w:r>
        <w:rPr>
          <w:rFonts w:ascii="Arial" w:hAnsi="Arial" w:cs="Arial"/>
          <w:sz w:val="24"/>
          <w:szCs w:val="24"/>
        </w:rPr>
        <w:t xml:space="preserve">rso de Gestão da Qualidade do CEUNSP se destaca por integrar em sua grade curricular disciplinas práticas, como DOL (Desenvolvimento de Oportunidades de Aprendizagem) e Itinerários Extensionistas, que são essencialmente voltadas para a aplicação prática do</w:t>
      </w:r>
      <w:r>
        <w:rPr>
          <w:rFonts w:ascii="Arial" w:hAnsi="Arial" w:cs="Arial"/>
          <w:sz w:val="24"/>
          <w:szCs w:val="24"/>
        </w:rPr>
        <w:t xml:space="preserve">s conhecimentos em contextos reais. Essas disciplinas 100% práticas proporcionam aos alunos a chance de desenvolver competências fundamentais, como a resolução de problemas, trabalho em equipe e inovação, todas altamente valorizadas no mercado de trabalho.</w:t>
      </w:r>
      <w:r>
        <w:rPr>
          <w:rFonts w:ascii="Arial" w:hAnsi="Arial" w:cs="Arial"/>
          <w:sz w:val="24"/>
          <w:szCs w:val="24"/>
        </w:rPr>
      </w:r>
      <w:r>
        <w:rPr>
          <w:rFonts w:ascii="Arial" w:hAnsi="Arial" w:cs="Arial"/>
          <w:sz w:val="24"/>
          <w:szCs w:val="24"/>
        </w:rPr>
      </w:r>
    </w:p>
    <w:p>
      <w:pPr>
        <w:pBdr/>
        <w:spacing w:line="360" w:lineRule="auto"/>
        <w:ind w:firstLine="708"/>
        <w:jc w:val="both"/>
        <w:rPr>
          <w:rFonts w:ascii="Arial" w:hAnsi="Arial" w:cs="Arial"/>
          <w:sz w:val="24"/>
          <w:szCs w:val="24"/>
        </w:rPr>
      </w:pPr>
      <w:r>
        <w:rPr>
          <w:rFonts w:ascii="Arial" w:hAnsi="Arial" w:cs="Arial"/>
          <w:sz w:val="24"/>
          <w:szCs w:val="24"/>
        </w:rPr>
        <w:t xml:space="preserve">A proposta pedagógica do CEUNSP alia-se às Diretrizes Curriculares Nacionais, utilizando metodologias ativas como a aprendizagem baseada em problemas (AB</w:t>
      </w:r>
      <w:r>
        <w:rPr>
          <w:rFonts w:ascii="Arial" w:hAnsi="Arial" w:cs="Arial"/>
          <w:sz w:val="24"/>
          <w:szCs w:val="24"/>
        </w:rPr>
        <w:t xml:space="preserve">P), que preparam os alunos para a tomada de decisões em ambientes corporativos complexos. Ao formar profissionais com sólidas competências técnicas e socioemocionais, o CEUNSP garante que seus egressos se destaquem em um mercado cada vez mais competitivo, </w:t>
      </w:r>
      <w:r>
        <w:rPr>
          <w:rFonts w:ascii="Arial" w:hAnsi="Arial" w:cs="Arial"/>
          <w:sz w:val="24"/>
          <w:szCs w:val="24"/>
        </w:rPr>
        <w:t xml:space="preserve">especialmente em um cenário caracterizado pela transformação digital e excelência organizacional.</w:t>
      </w:r>
      <w:r>
        <w:rPr>
          <w:rFonts w:ascii="Arial" w:hAnsi="Arial" w:cs="Arial"/>
          <w:sz w:val="24"/>
          <w:szCs w:val="24"/>
        </w:rPr>
      </w:r>
      <w:r>
        <w:rPr>
          <w:rFonts w:ascii="Arial" w:hAnsi="Arial" w:cs="Arial"/>
          <w:sz w:val="24"/>
          <w:szCs w:val="24"/>
        </w:rPr>
      </w:r>
    </w:p>
    <w:p>
      <w:pPr>
        <w:pBdr/>
        <w:spacing w:line="360" w:lineRule="auto"/>
        <w:ind w:firstLine="708"/>
        <w:jc w:val="both"/>
        <w:rPr>
          <w:rFonts w:ascii="Arial" w:hAnsi="Arial" w:cs="Arial"/>
          <w:sz w:val="24"/>
          <w:szCs w:val="24"/>
        </w:rPr>
      </w:pPr>
      <w:r>
        <w:rPr>
          <w:rFonts w:ascii="Arial" w:hAnsi="Arial" w:cs="Arial"/>
          <w:sz w:val="24"/>
          <w:szCs w:val="24"/>
        </w:rPr>
        <w:t xml:space="preserve">Com mais de 3.500 indústrias e uma diversidade de mais de 68.000 empresas de serviços na Região Metropolitana de Sorocaba, as oportunidades de emprego para os graduados em Gestão da Qualidade são vastas. O </w:t>
      </w:r>
      <w:r>
        <w:rPr>
          <w:rFonts w:ascii="Arial" w:hAnsi="Arial" w:cs="Arial"/>
          <w:sz w:val="24"/>
          <w:szCs w:val="24"/>
        </w:rPr>
        <w:t xml:space="preserve">curso não apenas desenvolve habilidades específicas em normas ISO, auditoria e controle estatístico de processos, mas também instiga nos alunos valores como ética e responsabilidade social, preparando-os para serem cidadãos e profissionais transformadores.</w:t>
      </w:r>
      <w:r>
        <w:rPr>
          <w:rFonts w:ascii="Arial" w:hAnsi="Arial" w:cs="Arial"/>
          <w:sz w:val="24"/>
          <w:szCs w:val="24"/>
        </w:rPr>
      </w:r>
      <w:r>
        <w:rPr>
          <w:rFonts w:ascii="Arial" w:hAnsi="Arial" w:cs="Arial"/>
          <w:sz w:val="24"/>
          <w:szCs w:val="24"/>
        </w:rPr>
      </w:r>
    </w:p>
    <w:p>
      <w:pPr>
        <w:pBdr/>
        <w:spacing w:line="360" w:lineRule="auto"/>
        <w:ind w:firstLine="708"/>
        <w:jc w:val="both"/>
        <w:rPr>
          <w:rFonts w:ascii="Arial" w:hAnsi="Arial" w:cs="Arial"/>
          <w:sz w:val="24"/>
          <w:szCs w:val="24"/>
        </w:rPr>
      </w:pPr>
      <w:r>
        <w:rPr>
          <w:rFonts w:ascii="Arial" w:hAnsi="Arial" w:cs="Arial"/>
          <w:sz w:val="24"/>
          <w:szCs w:val="24"/>
        </w:rPr>
        <w:t xml:space="preserve">Em síntese, o Curso Superior de Tecnologia em Gestão da Qualidade do CEUNSP está perfeitamente posicionado para responder às demandas do contexto loco-regional. Suas disciplinas práticas, aliad</w:t>
      </w:r>
      <w:r>
        <w:rPr>
          <w:rFonts w:ascii="Arial" w:hAnsi="Arial" w:cs="Arial"/>
          <w:sz w:val="24"/>
          <w:szCs w:val="24"/>
        </w:rPr>
        <w:t xml:space="preserve">as a uma estrutura curricular focada em inovação e desenvolvimento sustentável, asseguram que os alunos estejam aptos a enfrentar os desafios do mercado e a se tornarem líderes de mudança na Região Metropolitana de Sorocaba e em todo o Estado de São Paulo.</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b/>
          <w:bCs/>
          <w:sz w:val="24"/>
          <w:szCs w:val="24"/>
        </w:rPr>
      </w:pPr>
      <w:r>
        <w:rPr>
          <w:rFonts w:ascii="Arial" w:hAnsi="Arial" w:cs="Arial"/>
          <w:b/>
          <w:bCs/>
          <w:sz w:val="24"/>
          <w:szCs w:val="24"/>
        </w:rPr>
        <w:t xml:space="preserve">2- Análise Regional</w:t>
      </w:r>
      <w:r>
        <w:rPr>
          <w:rFonts w:ascii="Arial" w:hAnsi="Arial" w:cs="Arial"/>
          <w:b/>
          <w:bCs/>
          <w:sz w:val="24"/>
          <w:szCs w:val="24"/>
        </w:rPr>
      </w:r>
      <w:r>
        <w:rPr>
          <w:rFonts w:ascii="Arial" w:hAnsi="Arial" w:cs="Arial"/>
          <w:b/>
          <w:bCs/>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A região Sudeste do Brasil compreende quatro </w:t>
      </w:r>
      <w:r>
        <w:rPr>
          <w:rFonts w:ascii="Arial" w:hAnsi="Arial" w:cs="Arial"/>
          <w:sz w:val="24"/>
          <w:szCs w:val="24"/>
        </w:rPr>
        <w:t xml:space="preserve">estados: Rio de Janeiro, São Paulo, Minas Gerais e Espírito Santo. É a região mais desenvolvida do Brasil, destacando-se por contribuir com mais da metade do Produto Interno Bruto (PIB) nacional e abrigar cerca de 44% da população brasileira (IBGE, 2024). </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O Estado de São Paulo, apesar de possuir apenas 3% do território nacional, é o segundo maior da regiã</w:t>
      </w:r>
      <w:r>
        <w:rPr>
          <w:rFonts w:ascii="Arial" w:hAnsi="Arial" w:cs="Arial"/>
          <w:sz w:val="24"/>
          <w:szCs w:val="24"/>
        </w:rPr>
        <w:t xml:space="preserve">o com 248,2 mil quilômetros quadrados. É o Estado que possui o maior número de habitantes do Brasil, mais de 44 milhões, representando, portanto, 21% da população do país e constituindo-se na terceira unidade administrativa mais populosa da América do Sul.</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Responsável por 30% do PIB do país (R$ 3,5 trilhões), São Paulo possui a maior produção econômica do Brasil</w:t>
      </w:r>
      <w:r>
        <w:rPr>
          <w:rStyle w:val="971"/>
          <w:rFonts w:ascii="Arial" w:hAnsi="Arial" w:cs="Arial"/>
          <w:sz w:val="24"/>
          <w:szCs w:val="24"/>
        </w:rPr>
        <w:footnoteReference w:id="2"/>
      </w:r>
      <w:r>
        <w:rPr>
          <w:rFonts w:ascii="Arial" w:hAnsi="Arial" w:cs="Arial"/>
          <w:sz w:val="24"/>
          <w:szCs w:val="24"/>
        </w:rPr>
        <w:t xml:space="preserve"> e figura entre os estados brasileiros com alto Índice de Desenvolvimento Humano – IDHM (0,806 em 2021), sendo superado apenas pelo Distrito Federal, embora mantenha desigualdades socioeconômicas regionais e concentrações de pobreza em seu território. </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Conforme SEADE (2024) seu Produto Interno Bruto (PIB) atingiu mais de 30% do PIB brasileiro, a riqueza produzida no Estado somou R$ 3,5 trilhões e R$ 31.944,00 per capita. O PIB de São Paulo é o maior do país.</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É</w:t>
      </w:r>
      <w:r>
        <w:rPr>
          <w:rFonts w:ascii="Arial" w:hAnsi="Arial" w:cs="Arial"/>
          <w:sz w:val="24"/>
          <w:szCs w:val="24"/>
        </w:rPr>
        <w:t xml:space="preserve">, também, o estado que possui o maior parque industrial do país, gerando muitos empregos; o comércio também se destaca, pois abriga uma rede enorme de multinacionais. Ainda, conta com a agricultura e pecuária, bem como com o maior porto do país, em Santos.</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O Estado de São Paulo é dividido em 645 municípios, dos quais 42% encontram-se em pequenos municípios (271 com menos de 10 </w:t>
      </w:r>
      <w:r>
        <w:rPr>
          <w:rFonts w:ascii="Arial" w:hAnsi="Arial" w:cs="Arial"/>
          <w:sz w:val="24"/>
          <w:szCs w:val="24"/>
        </w:rPr>
        <w:t xml:space="preserve">mil habitantes), 21,1% residem em 294 municípios com população entre de 10.001 mil a 100 mil habitantes, 34,2% em municípios com 100.001 a 500.000 mil habitantes (71 municípios) e 41,7% concentrada em apenas 9 municípios com mais de 500.000 mil habitantes.</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O Estado conta com oito regiões metropolitanas </w:t>
      </w:r>
      <w:r>
        <w:rPr>
          <w:rFonts w:ascii="Arial" w:hAnsi="Arial" w:cs="Arial"/>
          <w:sz w:val="24"/>
          <w:szCs w:val="24"/>
        </w:rPr>
        <w:t xml:space="preserve">que concentram a maior parte da população, atingindo mais de 33 milhões de habitantes. Estas regiões são importantes para o desenvolvimento econômico do Estado, com grande riqueza de recursos, mas, apresentam também inúmeros problemas sociais e de saúde, c</w:t>
      </w:r>
      <w:r>
        <w:rPr>
          <w:rFonts w:ascii="Arial" w:hAnsi="Arial" w:cs="Arial"/>
          <w:sz w:val="24"/>
          <w:szCs w:val="24"/>
        </w:rPr>
        <w:t xml:space="preserve">omo a concentração populacional, condições inadequadas de habitação, violência urbana, tráfego intenso, desemprego, uso de drogas, poluição, além de concentrar as diretorias de ensino que estruturam e fazem a gestão da rede básica de ensino destas regiões.</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No que se refere à divisão político-territorial, o Estado se organiza em 16 regiões administrativas, estas delimitadas em o</w:t>
      </w:r>
      <w:r>
        <w:rPr>
          <w:rFonts w:ascii="Arial" w:hAnsi="Arial" w:cs="Arial"/>
          <w:sz w:val="24"/>
          <w:szCs w:val="24"/>
        </w:rPr>
        <w:t xml:space="preserve">ito regiões metropolitanas – Região Metropolitana de São Paulo (RMSP); Região Metropolitana de Ribeirão Preto (RMRP); Região Metropolitana de Piracicaba (RMP); Região Metropolitana de Campinas (RMC); Região Metropolitana do Vale do Paraíba e Litoral Norte </w:t>
      </w:r>
      <w:r>
        <w:rPr>
          <w:rFonts w:ascii="Arial" w:hAnsi="Arial" w:cs="Arial"/>
          <w:sz w:val="24"/>
          <w:szCs w:val="24"/>
        </w:rPr>
        <w:t xml:space="preserve">(RMVPLN); Região Metropolitana de São Jose do Rio Preto (RMSJR); </w:t>
      </w:r>
      <w:r>
        <w:rPr>
          <w:rFonts w:ascii="Arial" w:hAnsi="Arial" w:cs="Arial"/>
          <w:b/>
          <w:bCs/>
          <w:sz w:val="24"/>
          <w:szCs w:val="24"/>
        </w:rPr>
        <w:t xml:space="preserve">Região Metropolitana de Sorocaba (RMS)</w:t>
      </w:r>
      <w:r>
        <w:rPr>
          <w:rFonts w:ascii="Arial" w:hAnsi="Arial" w:cs="Arial"/>
          <w:sz w:val="24"/>
          <w:szCs w:val="24"/>
        </w:rPr>
        <w:t xml:space="preserve">; e Região Metropolitana de Jundiaí (RMJ).</w:t>
      </w:r>
      <w:r>
        <w:rPr>
          <w:rFonts w:ascii="Arial" w:hAnsi="Arial" w:cs="Arial"/>
          <w:sz w:val="24"/>
          <w:szCs w:val="24"/>
        </w:rPr>
      </w:r>
      <w:r>
        <w:rPr>
          <w:rFonts w:ascii="Arial" w:hAnsi="Arial" w:cs="Arial"/>
          <w:sz w:val="24"/>
          <w:szCs w:val="24"/>
        </w:rPr>
      </w:r>
    </w:p>
    <w:p>
      <w:pPr>
        <w:widowControl w:val="false"/>
        <w:pBdr/>
        <w:spacing w:after="0" w:line="360" w:lineRule="auto"/>
        <w:ind w:right="-1"/>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pacing w:after="0" w:line="360" w:lineRule="auto"/>
        <w:ind/>
        <w:jc w:val="center"/>
        <w:rPr>
          <w:rFonts w:ascii="Arial" w:hAnsi="Arial" w:cs="Arial"/>
          <w:sz w:val="20"/>
          <w:szCs w:val="20"/>
        </w:rPr>
      </w:pPr>
      <w:r>
        <w:rPr>
          <w:rFonts w:ascii="Arial" w:hAnsi="Arial" w:cs="Arial"/>
          <w:sz w:val="20"/>
          <w:szCs w:val="20"/>
        </w:rPr>
        <w:t xml:space="preserve">Figura 1: Regiões Administrativas do Estado de SP</w:t>
      </w:r>
      <w:r>
        <w:rPr>
          <w:rFonts w:ascii="Arial" w:hAnsi="Arial" w:cs="Arial"/>
          <w:sz w:val="20"/>
          <w:szCs w:val="20"/>
        </w:rPr>
      </w:r>
      <w:r>
        <w:rPr>
          <w:rFonts w:ascii="Arial" w:hAnsi="Arial" w:cs="Arial"/>
          <w:sz w:val="20"/>
          <w:szCs w:val="20"/>
        </w:rPr>
      </w:r>
    </w:p>
    <w:p>
      <w:pPr>
        <w:widowControl w:val="false"/>
        <w:pBdr/>
        <w:spacing w:after="0" w:line="360" w:lineRule="auto"/>
        <w:ind w:right="-1"/>
        <w:jc w:val="both"/>
        <w:rPr>
          <w:rFonts w:ascii="Arial" w:hAnsi="Arial" w:cs="Arial"/>
          <w:sz w:val="24"/>
          <w:szCs w:val="24"/>
        </w:rPr>
      </w:pPr>
      <w:r>
        <w:rPr>
          <w:rFonts w:ascii="Arial" w:hAnsi="Arial" w:cs="Arial"/>
          <w:sz w:val="24"/>
          <w:szCs w:val="24"/>
        </w:rPr>
        <mc:AlternateContent>
          <mc:Choice Requires="wpg">
            <w:drawing>
              <wp:inline xmlns:wp="http://schemas.openxmlformats.org/drawingml/2006/wordprocessingDrawing" distT="0" distB="0" distL="0" distR="0">
                <wp:extent cx="5320393" cy="3724275"/>
                <wp:effectExtent l="0" t="0" r="0" b="0"/>
                <wp:docPr id="3" name="Imagem 1"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Mapa&#10;&#10;Descrição gerada automaticamente"/>
                        <pic:cNvPicPr>
                          <a:picLocks noChangeAspect="1"/>
                        </pic:cNvPicPr>
                        <pic:nvPr/>
                      </pic:nvPicPr>
                      <pic:blipFill rotWithShape="1">
                        <a:blip r:embed="rId14"/>
                        <a:stretch/>
                      </pic:blipFill>
                      <pic:spPr bwMode="auto">
                        <a:xfrm>
                          <a:off x="0" y="0"/>
                          <a:ext cx="5323372" cy="372636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418.93pt;height:293.25pt;mso-wrap-distance-left:0.00pt;mso-wrap-distance-top:0.00pt;mso-wrap-distance-right:0.00pt;mso-wrap-distance-bottom:0.00pt;z-index:1;" stroked="f">
                <v:imagedata r:id="rId14" o:title=""/>
                <o:lock v:ext="edit" rotation="t"/>
              </v:shape>
            </w:pict>
          </mc:Fallback>
        </mc:AlternateContent>
      </w:r>
      <w:r>
        <w:rPr>
          <w:rFonts w:ascii="Arial" w:hAnsi="Arial" w:cs="Arial"/>
          <w:sz w:val="24"/>
          <w:szCs w:val="24"/>
        </w:rPr>
      </w:r>
      <w:r>
        <w:rPr>
          <w:rFonts w:ascii="Arial" w:hAnsi="Arial" w:cs="Arial"/>
          <w:sz w:val="24"/>
          <w:szCs w:val="24"/>
        </w:rPr>
      </w:r>
    </w:p>
    <w:p>
      <w:pPr>
        <w:widowControl w:val="false"/>
        <w:pBdr/>
        <w:spacing w:after="0" w:line="360" w:lineRule="auto"/>
        <w:ind w:right="-1"/>
        <w:jc w:val="center"/>
        <w:rPr>
          <w:rFonts w:ascii="Arial" w:hAnsi="Arial" w:cs="Arial"/>
          <w:sz w:val="20"/>
          <w:szCs w:val="20"/>
        </w:rPr>
      </w:pPr>
      <w:r>
        <w:rPr>
          <w:rFonts w:ascii="Arial" w:hAnsi="Arial" w:cs="Arial"/>
          <w:sz w:val="20"/>
          <w:szCs w:val="20"/>
        </w:rPr>
        <w:t xml:space="preserve">Fonte: Fundação SEADE (2010) SEDS</w:t>
      </w:r>
      <w:r>
        <w:rPr>
          <w:rFonts w:ascii="Arial" w:hAnsi="Arial" w:cs="Arial"/>
          <w:sz w:val="20"/>
          <w:szCs w:val="20"/>
        </w:rPr>
      </w:r>
      <w:r>
        <w:rPr>
          <w:rFonts w:ascii="Arial" w:hAnsi="Arial" w:cs="Arial"/>
          <w:sz w:val="20"/>
          <w:szCs w:val="20"/>
        </w:rPr>
      </w:r>
    </w:p>
    <w:p>
      <w:pPr>
        <w:pBdr/>
        <w:spacing w:after="0" w:line="360" w:lineRule="auto"/>
        <w:ind/>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A Região Administrativa e Metropolitana de Sorocaba, da qual Itu faz parte, é composta por 27 municípios, possui economia altamente diversificada</w:t>
      </w:r>
      <w:r>
        <w:rPr>
          <w:rStyle w:val="971"/>
          <w:rFonts w:ascii="Arial" w:hAnsi="Arial" w:cs="Arial"/>
          <w:sz w:val="24"/>
          <w:szCs w:val="24"/>
        </w:rPr>
        <w:footnoteReference w:id="3"/>
      </w:r>
      <w:r>
        <w:rPr>
          <w:rFonts w:ascii="Arial" w:hAnsi="Arial" w:cs="Arial"/>
          <w:sz w:val="24"/>
          <w:szCs w:val="24"/>
        </w:rPr>
        <w:t xml:space="preserve">, com destaques para a fabricação de implementos de comunicação. Ainda são importantes os setores de alimentos, de máquinas e equipamentos, além de indústrias farmacêuticas e de couros e calçados. Esse perfil faz com </w:t>
      </w:r>
      <w:r>
        <w:rPr>
          <w:rFonts w:ascii="Arial" w:hAnsi="Arial" w:cs="Arial"/>
          <w:sz w:val="24"/>
          <w:szCs w:val="24"/>
        </w:rPr>
        <w:t xml:space="preserve">que a indústria de média-alta tecnologia da RA seja responsável por 54,8% das exportações por intensidade tecnológica enquanto a média estadual é 28,7%. A indústria de média-baixa tecnologia também atinge patamar acima da média paulista: 17%, contra 10,7%.</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Desde 2014, por meio da Lei Complementar Estadual nº 1.241/2014, foi criada a Região Metropolitana de Sorocaba (RMS). A RMS está estrategicamente situada entre duas importantes regiões metropolitanas do País </w:t>
      </w:r>
      <w:r>
        <w:rPr>
          <w:rFonts w:ascii="Arial" w:hAnsi="Arial" w:cs="Arial"/>
          <w:sz w:val="24"/>
          <w:szCs w:val="24"/>
        </w:rPr>
        <w:t xml:space="preserve">− São Paulo e Curitiba −, além de manter limite territorial e processo de conurbação com a Região Metropolitana de Campinas. Trata-se de população de mais de 2 milhões de habitantes, que representam 4,6% da população estadual. </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pacing w:after="0" w:line="240" w:lineRule="auto"/>
        <w:ind/>
        <w:jc w:val="both"/>
        <w:rPr>
          <w:rFonts w:ascii="Arial" w:hAnsi="Arial" w:cs="Arial"/>
          <w:sz w:val="20"/>
          <w:szCs w:val="20"/>
        </w:rPr>
      </w:pPr>
      <w:r>
        <w:rPr>
          <w:rFonts w:ascii="Arial" w:hAnsi="Arial" w:cs="Arial"/>
          <w:sz w:val="20"/>
          <w:szCs w:val="20"/>
        </w:rPr>
        <w:t xml:space="preserve">Figura 2: Região Metropolitana de Sorocaba</w:t>
      </w:r>
      <w:r>
        <w:rPr>
          <w:rFonts w:ascii="Arial" w:hAnsi="Arial" w:cs="Arial"/>
          <w:sz w:val="20"/>
          <w:szCs w:val="20"/>
        </w:rPr>
      </w:r>
      <w:r>
        <w:rPr>
          <w:rFonts w:ascii="Arial" w:hAnsi="Arial" w:cs="Arial"/>
          <w:sz w:val="20"/>
          <w:szCs w:val="20"/>
        </w:rPr>
      </w:r>
    </w:p>
    <w:p>
      <w:pPr>
        <w:widowControl w:val="false"/>
        <w:pBdr/>
        <w:spacing w:after="0" w:line="360" w:lineRule="auto"/>
        <w:ind w:right="-1"/>
        <w:jc w:val="both"/>
        <w:rPr>
          <w:rFonts w:ascii="Arial" w:hAnsi="Arial" w:cs="Arial"/>
          <w:sz w:val="24"/>
          <w:szCs w:val="24"/>
        </w:rPr>
      </w:pPr>
      <w:r>
        <w:rPr>
          <w:rFonts w:ascii="Arial" w:hAnsi="Arial" w:cs="Arial"/>
          <w:sz w:val="24"/>
          <w:szCs w:val="24"/>
        </w:rPr>
        <mc:AlternateContent>
          <mc:Choice Requires="wpg">
            <w:drawing>
              <wp:inline xmlns:wp="http://schemas.openxmlformats.org/drawingml/2006/wordprocessingDrawing" distT="0" distB="0" distL="0" distR="0">
                <wp:extent cx="4629150" cy="3827519"/>
                <wp:effectExtent l="0" t="0" r="0" b="1905"/>
                <wp:docPr id="4" name="Imagem 1"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805934" name="Imagem 1" descr="Mapa&#10;&#10;Descrição gerada automaticamente"/>
                        <pic:cNvPicPr>
                          <a:picLocks noChangeAspect="1"/>
                        </pic:cNvPicPr>
                        <pic:nvPr/>
                      </pic:nvPicPr>
                      <pic:blipFill rotWithShape="1">
                        <a:blip r:embed="rId15"/>
                        <a:stretch/>
                      </pic:blipFill>
                      <pic:spPr bwMode="auto">
                        <a:xfrm>
                          <a:off x="0" y="0"/>
                          <a:ext cx="4670352" cy="386158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364.50pt;height:301.38pt;mso-wrap-distance-left:0.00pt;mso-wrap-distance-top:0.00pt;mso-wrap-distance-right:0.00pt;mso-wrap-distance-bottom:0.00pt;z-index:1;" stroked="false">
                <v:imagedata r:id="rId15" o:title=""/>
                <o:lock v:ext="edit" rotation="t"/>
              </v:shape>
            </w:pict>
          </mc:Fallback>
        </mc:AlternateContent>
      </w:r>
      <w:r>
        <w:rPr>
          <w:rFonts w:ascii="Arial" w:hAnsi="Arial" w:cs="Arial"/>
          <w:sz w:val="24"/>
          <w:szCs w:val="24"/>
        </w:rPr>
      </w:r>
      <w:r>
        <w:rPr>
          <w:rFonts w:ascii="Arial" w:hAnsi="Arial" w:cs="Arial"/>
          <w:sz w:val="24"/>
          <w:szCs w:val="24"/>
        </w:rPr>
      </w:r>
    </w:p>
    <w:p>
      <w:pPr>
        <w:pBdr/>
        <w:spacing w:after="0" w:line="240" w:lineRule="auto"/>
        <w:ind/>
        <w:jc w:val="both"/>
        <w:rPr>
          <w:rFonts w:ascii="Arial" w:hAnsi="Arial" w:cs="Arial"/>
          <w:sz w:val="20"/>
          <w:szCs w:val="20"/>
        </w:rPr>
      </w:pPr>
      <w:r>
        <w:rPr>
          <w:rFonts w:ascii="Arial" w:hAnsi="Arial" w:cs="Arial"/>
          <w:b/>
          <w:bCs/>
          <w:sz w:val="20"/>
          <w:szCs w:val="20"/>
        </w:rPr>
        <w:t xml:space="preserve">Fonte:</w:t>
      </w:r>
      <w:r>
        <w:rPr>
          <w:rFonts w:ascii="Arial" w:hAnsi="Arial" w:cs="Arial"/>
          <w:sz w:val="20"/>
          <w:szCs w:val="20"/>
        </w:rPr>
        <w:t xml:space="preserve"> </w:t>
      </w:r>
      <w:hyperlink r:id="rId16" w:tooltip="https://rms.pdui.sp.gov.br/?page_id=127" w:history="1">
        <w:r>
          <w:rPr>
            <w:rStyle w:val="967"/>
            <w:rFonts w:ascii="Arial" w:hAnsi="Arial" w:cs="Arial"/>
            <w:sz w:val="20"/>
            <w:szCs w:val="20"/>
          </w:rPr>
          <w:t xml:space="preserve">https://rms.pdui.sp.gov.br/?page_id=127</w:t>
        </w:r>
      </w:hyperlink>
      <w:r>
        <w:rPr>
          <w:rFonts w:ascii="Arial" w:hAnsi="Arial" w:cs="Arial"/>
          <w:sz w:val="20"/>
          <w:szCs w:val="20"/>
        </w:rPr>
        <w:t xml:space="preserve"> Consulta: 22/04/2025</w:t>
      </w:r>
      <w:r>
        <w:rPr>
          <w:rFonts w:ascii="Arial" w:hAnsi="Arial" w:cs="Arial"/>
          <w:sz w:val="20"/>
          <w:szCs w:val="20"/>
        </w:rPr>
      </w:r>
      <w:r>
        <w:rPr>
          <w:rFonts w:ascii="Arial" w:hAnsi="Arial" w:cs="Arial"/>
          <w:sz w:val="20"/>
          <w:szCs w:val="20"/>
        </w:rPr>
      </w:r>
    </w:p>
    <w:p>
      <w:pPr>
        <w:pBdr/>
        <w:spacing w:after="0" w:line="360" w:lineRule="auto"/>
        <w:ind/>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t xml:space="preserve">Atualmente, há 2.120.095 habitantes distribuídos em uma área de 11.611,34km² na RMS, representando uma densidade dem</w:t>
      </w:r>
      <w:r>
        <w:rPr>
          <w:rFonts w:ascii="Arial" w:hAnsi="Arial" w:cs="Arial"/>
          <w:sz w:val="24"/>
          <w:szCs w:val="24"/>
        </w:rPr>
        <w:t xml:space="preserve">ográfica compatível a 182,59 habitantes por quilômetro quadrado. O PIB regional coloca a RMS na 15ª posição nacional, evidenciando a região como uma importante potência econômica. A RMS está agrupada em três sub-regiões, com sede em Sorocaba, Itu e Tatuí. </w:t>
      </w:r>
      <w:r>
        <w:rPr>
          <w:rFonts w:ascii="Arial" w:hAnsi="Arial" w:cs="Arial"/>
          <w:sz w:val="24"/>
          <w:szCs w:val="24"/>
        </w:rPr>
      </w:r>
      <w:r>
        <w:rPr>
          <w:rFonts w:ascii="Arial" w:hAnsi="Arial" w:cs="Arial"/>
          <w:sz w:val="24"/>
          <w:szCs w:val="24"/>
        </w:rPr>
      </w:r>
    </w:p>
    <w:p>
      <w:pPr>
        <w:pBdr/>
        <w:spacing w:after="0" w:line="360" w:lineRule="auto"/>
        <w:ind w:firstLine="708"/>
        <w:jc w:val="both"/>
        <w:rPr>
          <w:rFonts w:ascii="Arial" w:hAnsi="Arial" w:cs="Arial"/>
          <w:sz w:val="24"/>
          <w:szCs w:val="24"/>
        </w:rPr>
      </w:pPr>
      <w:r>
        <w:rPr>
          <w:rFonts w:ascii="Arial" w:hAnsi="Arial" w:cs="Arial"/>
          <w:sz w:val="24"/>
          <w:szCs w:val="24"/>
        </w:rPr>
      </w:r>
      <w:r>
        <w:rPr>
          <w:rFonts w:ascii="Arial" w:hAnsi="Arial" w:cs="Arial"/>
          <w:sz w:val="24"/>
          <w:szCs w:val="24"/>
        </w:rPr>
      </w:r>
      <w:r>
        <w:rPr>
          <w:rFonts w:ascii="Arial" w:hAnsi="Arial" w:cs="Arial"/>
          <w:sz w:val="24"/>
          <w:szCs w:val="24"/>
        </w:rPr>
      </w:r>
    </w:p>
    <w:p>
      <w:pPr>
        <w:pBdr/>
        <w:spacing w:after="0" w:line="360" w:lineRule="auto"/>
        <w:ind/>
        <w:jc w:val="both"/>
        <w:rPr>
          <w:rFonts w:ascii="Arial" w:hAnsi="Arial" w:cs="Arial"/>
          <w:sz w:val="24"/>
          <w:szCs w:val="24"/>
        </w:rPr>
      </w:pPr>
      <w:r>
        <w:rPr>
          <w:rFonts w:ascii="Arial" w:hAnsi="Arial" w:cs="Arial"/>
          <w:sz w:val="24"/>
          <w:szCs w:val="24"/>
        </w:rPr>
        <w:t xml:space="preserve">Quadro 2: Dados das Cidades da Região Metropolitana de Sorocaba</w:t>
      </w:r>
      <w:r>
        <w:rPr>
          <w:rFonts w:ascii="Arial" w:hAnsi="Arial" w:cs="Arial"/>
          <w:sz w:val="24"/>
          <w:szCs w:val="24"/>
        </w:rPr>
      </w:r>
      <w:r>
        <w:rPr>
          <w:rFonts w:ascii="Arial" w:hAnsi="Arial" w:cs="Arial"/>
          <w:sz w:val="24"/>
          <w:szCs w:val="24"/>
        </w:rPr>
      </w:r>
    </w:p>
    <w:tbl>
      <w:tblPr>
        <w:tblStyle w:val="972"/>
        <w:tblInd w:w="-714" w:type="dxa"/>
        <w:tblW w:w="9126" w:type="dxa"/>
        <w:tblBorders/>
        <w:tblLayout w:type="fixed"/>
        <w:tblLook w:val="04A0" w:firstRow="1" w:lastRow="0" w:firstColumn="1" w:lastColumn="0" w:noHBand="0" w:noVBand="1"/>
      </w:tblPr>
      <w:tblGrid>
        <w:gridCol w:w="1968"/>
        <w:gridCol w:w="1211"/>
        <w:gridCol w:w="1783"/>
        <w:gridCol w:w="1701"/>
        <w:gridCol w:w="1052"/>
        <w:gridCol w:w="1411"/>
      </w:tblGrid>
      <w:tr>
        <w:trPr/>
        <w:tc>
          <w:tcPr>
            <w:shd w:val="clear" w:color="auto" w:fill="002060"/>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CIDADE</w:t>
            </w:r>
            <w:r>
              <w:rPr>
                <w:rFonts w:ascii="Arial" w:hAnsi="Arial" w:eastAsia="Calibri" w:cs="Arial"/>
                <w:b/>
                <w:bCs/>
                <w:sz w:val="20"/>
                <w:szCs w:val="20"/>
              </w:rPr>
            </w:r>
            <w:r>
              <w:rPr>
                <w:rFonts w:ascii="Arial" w:hAnsi="Arial" w:eastAsia="Calibri" w:cs="Arial"/>
                <w:b/>
                <w:bCs/>
                <w:sz w:val="20"/>
                <w:szCs w:val="20"/>
              </w:rPr>
            </w:r>
          </w:p>
        </w:tc>
        <w:tc>
          <w:tcPr>
            <w:shd w:val="clear" w:color="auto" w:fill="002060"/>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KM</w:t>
            </w:r>
            <w:r>
              <w:rPr>
                <w:rFonts w:ascii="Arial" w:hAnsi="Arial" w:eastAsia="Calibri" w:cs="Arial"/>
                <w:b/>
                <w:bCs/>
                <w:sz w:val="20"/>
                <w:szCs w:val="20"/>
                <w:vertAlign w:val="superscript"/>
              </w:rPr>
              <w:t xml:space="preserve">2</w:t>
            </w:r>
            <w:r>
              <w:rPr>
                <w:rFonts w:ascii="Arial" w:hAnsi="Arial" w:eastAsia="Calibri" w:cs="Arial"/>
                <w:b/>
                <w:bCs/>
                <w:sz w:val="20"/>
                <w:szCs w:val="20"/>
              </w:rPr>
            </w:r>
            <w:r>
              <w:rPr>
                <w:rFonts w:ascii="Arial" w:hAnsi="Arial" w:eastAsia="Calibri" w:cs="Arial"/>
                <w:b/>
                <w:bCs/>
                <w:sz w:val="20"/>
                <w:szCs w:val="20"/>
              </w:rPr>
            </w:r>
          </w:p>
        </w:tc>
        <w:tc>
          <w:tcPr>
            <w:shd w:val="clear" w:color="auto" w:fill="002060"/>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HABITANTES</w:t>
            </w:r>
            <w:r>
              <w:rPr>
                <w:rFonts w:ascii="Arial" w:hAnsi="Arial" w:eastAsia="Calibri" w:cs="Arial"/>
                <w:b/>
                <w:bCs/>
                <w:sz w:val="20"/>
                <w:szCs w:val="20"/>
              </w:rPr>
            </w:r>
            <w:r>
              <w:rPr>
                <w:rFonts w:ascii="Arial" w:hAnsi="Arial" w:eastAsia="Calibri" w:cs="Arial"/>
                <w:b/>
                <w:bCs/>
                <w:sz w:val="20"/>
                <w:szCs w:val="20"/>
              </w:rPr>
            </w:r>
          </w:p>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IBGE (2022)</w:t>
            </w:r>
            <w:r>
              <w:rPr>
                <w:rFonts w:ascii="Arial" w:hAnsi="Arial" w:eastAsia="Calibri" w:cs="Arial"/>
                <w:b/>
                <w:bCs/>
                <w:sz w:val="20"/>
                <w:szCs w:val="20"/>
              </w:rPr>
            </w:r>
            <w:r>
              <w:rPr>
                <w:rFonts w:ascii="Arial" w:hAnsi="Arial" w:eastAsia="Calibri" w:cs="Arial"/>
                <w:b/>
                <w:bCs/>
                <w:sz w:val="20"/>
                <w:szCs w:val="20"/>
              </w:rPr>
            </w:r>
          </w:p>
        </w:tc>
        <w:tc>
          <w:tcPr>
            <w:shd w:val="clear" w:color="auto" w:fill="002060"/>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DENSIDADE</w:t>
            </w:r>
            <w:r>
              <w:rPr>
                <w:rFonts w:ascii="Arial" w:hAnsi="Arial" w:eastAsia="Calibri" w:cs="Arial"/>
                <w:b/>
                <w:bCs/>
                <w:sz w:val="20"/>
                <w:szCs w:val="20"/>
              </w:rPr>
            </w:r>
            <w:r>
              <w:rPr>
                <w:rFonts w:ascii="Arial" w:hAnsi="Arial" w:eastAsia="Calibri" w:cs="Arial"/>
                <w:b/>
                <w:bCs/>
                <w:sz w:val="20"/>
                <w:szCs w:val="20"/>
              </w:rPr>
            </w:r>
          </w:p>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HAB/KM²</w:t>
            </w:r>
            <w:r>
              <w:rPr>
                <w:rFonts w:ascii="Arial" w:hAnsi="Arial" w:eastAsia="Calibri" w:cs="Arial"/>
                <w:b/>
                <w:bCs/>
                <w:sz w:val="20"/>
                <w:szCs w:val="20"/>
              </w:rPr>
            </w:r>
            <w:r>
              <w:rPr>
                <w:rFonts w:ascii="Arial" w:hAnsi="Arial" w:eastAsia="Calibri" w:cs="Arial"/>
                <w:b/>
                <w:bCs/>
                <w:sz w:val="20"/>
                <w:szCs w:val="20"/>
              </w:rPr>
            </w:r>
          </w:p>
        </w:tc>
        <w:tc>
          <w:tcPr>
            <w:shd w:val="clear" w:color="auto" w:fill="002060"/>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IDHM</w:t>
            </w:r>
            <w:r>
              <w:rPr>
                <w:rFonts w:ascii="Arial" w:hAnsi="Arial" w:eastAsia="Calibri" w:cs="Arial"/>
                <w:b/>
                <w:bCs/>
                <w:sz w:val="20"/>
                <w:szCs w:val="20"/>
              </w:rPr>
            </w:r>
            <w:r>
              <w:rPr>
                <w:rFonts w:ascii="Arial" w:hAnsi="Arial" w:eastAsia="Calibri" w:cs="Arial"/>
                <w:b/>
                <w:bCs/>
                <w:sz w:val="20"/>
                <w:szCs w:val="20"/>
              </w:rPr>
            </w:r>
          </w:p>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IBGE (2010)</w:t>
            </w:r>
            <w:r>
              <w:rPr>
                <w:rFonts w:ascii="Arial" w:hAnsi="Arial" w:eastAsia="Calibri" w:cs="Arial"/>
                <w:b/>
                <w:bCs/>
                <w:sz w:val="20"/>
                <w:szCs w:val="20"/>
              </w:rPr>
            </w:r>
            <w:r>
              <w:rPr>
                <w:rFonts w:ascii="Arial" w:hAnsi="Arial" w:eastAsia="Calibri" w:cs="Arial"/>
                <w:b/>
                <w:bCs/>
                <w:sz w:val="20"/>
                <w:szCs w:val="20"/>
              </w:rPr>
            </w:r>
          </w:p>
        </w:tc>
        <w:tc>
          <w:tcPr>
            <w:shd w:val="clear" w:color="auto" w:fill="002060"/>
            <w:tcBorders>
              <w:top w:val="single" w:color="000000" w:sz="4" w:space="0"/>
              <w:left w:val="single" w:color="000000" w:sz="4" w:space="0"/>
              <w:bottom w:val="single" w:color="000000" w:sz="4" w:space="0"/>
              <w:right w:val="single" w:color="000000" w:sz="4" w:space="0"/>
            </w:tcBorders>
            <w:tcW w:w="1411" w:type="dxa"/>
            <w:vAlign w:val="center"/>
            <w:textDirection w:val="lrTb"/>
            <w:noWrap w:val="false"/>
          </w:tcPr>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PIB PER CAPITA</w:t>
            </w:r>
            <w:r>
              <w:rPr>
                <w:rFonts w:ascii="Arial" w:hAnsi="Arial" w:eastAsia="Calibri" w:cs="Arial"/>
                <w:b/>
                <w:bCs/>
                <w:sz w:val="20"/>
                <w:szCs w:val="20"/>
              </w:rPr>
            </w:r>
            <w:r>
              <w:rPr>
                <w:rFonts w:ascii="Arial" w:hAnsi="Arial" w:eastAsia="Calibri" w:cs="Arial"/>
                <w:b/>
                <w:bCs/>
                <w:sz w:val="20"/>
                <w:szCs w:val="20"/>
              </w:rPr>
            </w:r>
          </w:p>
          <w:p>
            <w:pPr>
              <w:pBdr/>
              <w:spacing w:after="0" w:line="276" w:lineRule="auto"/>
              <w:ind/>
              <w:jc w:val="both"/>
              <w:rPr>
                <w:rFonts w:ascii="Arial" w:hAnsi="Arial" w:eastAsia="Calibri" w:cs="Arial"/>
                <w:b/>
                <w:bCs/>
                <w:sz w:val="20"/>
                <w:szCs w:val="20"/>
              </w:rPr>
            </w:pPr>
            <w:r>
              <w:rPr>
                <w:rFonts w:ascii="Arial" w:hAnsi="Arial" w:eastAsia="Calibri" w:cs="Arial"/>
                <w:b/>
                <w:bCs/>
                <w:sz w:val="20"/>
                <w:szCs w:val="20"/>
              </w:rPr>
              <w:t xml:space="preserve">IBGE (2024)</w:t>
            </w:r>
            <w:r>
              <w:rPr>
                <w:rFonts w:ascii="Arial" w:hAnsi="Arial" w:eastAsia="Calibri" w:cs="Arial"/>
                <w:b/>
                <w:bCs/>
                <w:sz w:val="20"/>
                <w:szCs w:val="20"/>
              </w:rPr>
            </w:r>
            <w:r>
              <w:rPr>
                <w:rFonts w:ascii="Arial" w:hAnsi="Arial" w:eastAsia="Calibri" w:cs="Arial"/>
                <w:b/>
                <w:bCs/>
                <w:sz w:val="20"/>
                <w:szCs w:val="20"/>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Alambari</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159,600</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6.141</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38,48hab/km²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0,712</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R$ 20.765,46</w:t>
            </w:r>
            <w:r>
              <w:rPr>
                <w:rFonts w:ascii="Arial" w:hAnsi="Arial" w:eastAsia="Calibri" w:cs="Arial"/>
                <w:sz w:val="18"/>
                <w:szCs w:val="18"/>
              </w:rPr>
            </w:r>
            <w:r>
              <w:rPr>
                <w:rFonts w:ascii="Arial" w:hAnsi="Arial" w:eastAsia="Calibri"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Boituva</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248,954</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61.081</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245,35hab/km²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0,780</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R$ 53.597,04</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Capela do Alto</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169,890</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22.866</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134,59hab/km²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0,699</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R$ 18.457,62</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Cerquilho</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127,803</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44.695</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349,72hab/km²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0,782</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R$ 46.293,89</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Cesário Lange</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190,392</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19.048</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100,05hab/km²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0,706</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R$ 39.826,25</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Jumirim</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56,685</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3.059</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53,96hab/km²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0,741</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R$ 61.724,71</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Sapuraí</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352,592</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10.369</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29,41hab/km²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0,707</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R$ 40.892,85</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Tatuí</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523,749</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123.942</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236,64hab/km²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0,752</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R$ 50.258,52</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Tietê</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404,396</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37.663</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93,13hab/km²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0,778</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R$ 38.058,01</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Itapetininga</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1.789,350</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157.790</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88,18hab/km²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0,763</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R$ 21.670,96</w:t>
            </w:r>
            <w:r>
              <w:rPr>
                <w:rFonts w:ascii="Arial" w:hAnsi="Arial" w:cs="Arial"/>
                <w:sz w:val="18"/>
                <w:szCs w:val="18"/>
              </w:rPr>
            </w:r>
            <w:r>
              <w:rPr>
                <w:rFonts w:ascii="Arial" w:hAnsi="Arial" w:cs="Arial"/>
                <w:sz w:val="18"/>
                <w:szCs w:val="18"/>
              </w:rPr>
            </w:r>
          </w:p>
        </w:tc>
      </w:tr>
      <w:tr>
        <w:trPr/>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eastAsia="Calibri" w:cs="Arial"/>
                <w:b/>
                <w:bCs/>
                <w:sz w:val="18"/>
                <w:szCs w:val="18"/>
              </w:rPr>
            </w:pPr>
            <w:r>
              <w:rPr>
                <w:rFonts w:ascii="Arial" w:hAnsi="Arial" w:cs="Arial"/>
                <w:sz w:val="18"/>
                <w:szCs w:val="18"/>
              </w:rPr>
              <w:t xml:space="preserve">Alumínio</w:t>
            </w:r>
            <w:r>
              <w:rPr>
                <w:rFonts w:ascii="Arial" w:hAnsi="Arial" w:eastAsia="Calibri" w:cs="Arial"/>
                <w:b/>
                <w:bCs/>
                <w:sz w:val="18"/>
                <w:szCs w:val="18"/>
              </w:rPr>
            </w:r>
            <w:r>
              <w:rPr>
                <w:rFonts w:ascii="Arial" w:hAnsi="Arial" w:eastAsia="Calibri" w:cs="Arial"/>
                <w:b/>
                <w:bCs/>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83.619</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17.301</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206,90hab/km²</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0,766</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R$ 20.625,04</w:t>
            </w:r>
            <w:r>
              <w:rPr>
                <w:rFonts w:ascii="Arial" w:hAnsi="Arial" w:eastAsia="Calibri" w:cs="Arial"/>
                <w:sz w:val="18"/>
                <w:szCs w:val="18"/>
              </w:rPr>
            </w:r>
            <w:r>
              <w:rPr>
                <w:rFonts w:ascii="Arial" w:hAnsi="Arial" w:eastAsia="Calibri" w:cs="Arial"/>
                <w:sz w:val="18"/>
                <w:szCs w:val="18"/>
              </w:rPr>
            </w:r>
          </w:p>
        </w:tc>
      </w:tr>
      <w:tr>
        <w:trPr/>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Araçariguama</w:t>
            </w:r>
            <w:r>
              <w:rPr>
                <w:rFonts w:ascii="Arial" w:hAnsi="Arial" w:cs="Arial"/>
                <w:sz w:val="18"/>
                <w:szCs w:val="18"/>
              </w:rPr>
            </w:r>
            <w:r>
              <w:rPr>
                <w:rFonts w:ascii="Arial" w:hAnsi="Arial"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145,204</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21.522</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148,22hab/km²</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0,704</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R$ 29.609,37</w:t>
            </w:r>
            <w:r>
              <w:rPr>
                <w:rFonts w:ascii="Arial" w:hAnsi="Arial" w:eastAsia="Calibri" w:cs="Arial"/>
                <w:sz w:val="18"/>
                <w:szCs w:val="18"/>
              </w:rPr>
            </w:r>
            <w:r>
              <w:rPr>
                <w:rFonts w:ascii="Arial" w:hAnsi="Arial" w:eastAsia="Calibri" w:cs="Arial"/>
                <w:sz w:val="18"/>
                <w:szCs w:val="18"/>
              </w:rPr>
            </w:r>
          </w:p>
        </w:tc>
      </w:tr>
      <w:tr>
        <w:trPr/>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eastAsia="Calibri" w:cs="Arial"/>
                <w:b/>
                <w:bCs/>
                <w:sz w:val="18"/>
                <w:szCs w:val="18"/>
              </w:rPr>
            </w:pPr>
            <w:r>
              <w:rPr>
                <w:rFonts w:ascii="Arial" w:hAnsi="Arial" w:cs="Arial"/>
                <w:sz w:val="18"/>
                <w:szCs w:val="18"/>
              </w:rPr>
              <w:t xml:space="preserve">Ibiúna</w:t>
            </w:r>
            <w:r>
              <w:rPr>
                <w:rFonts w:ascii="Arial" w:hAnsi="Arial" w:eastAsia="Calibri" w:cs="Arial"/>
                <w:b/>
                <w:bCs/>
                <w:sz w:val="18"/>
                <w:szCs w:val="18"/>
              </w:rPr>
            </w:r>
            <w:r>
              <w:rPr>
                <w:rFonts w:ascii="Arial" w:hAnsi="Arial" w:eastAsia="Calibri" w:cs="Arial"/>
                <w:b/>
                <w:bCs/>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1.058,08</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74.957</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70,84hab/km²</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0,710</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R$ 59.502,19</w:t>
            </w:r>
            <w:r>
              <w:rPr>
                <w:rFonts w:ascii="Arial" w:hAnsi="Arial" w:eastAsia="Calibri" w:cs="Arial"/>
                <w:sz w:val="18"/>
                <w:szCs w:val="18"/>
              </w:rPr>
            </w:r>
            <w:r>
              <w:rPr>
                <w:rFonts w:ascii="Arial" w:hAnsi="Arial" w:eastAsia="Calibri" w:cs="Arial"/>
                <w:sz w:val="18"/>
                <w:szCs w:val="18"/>
              </w:rPr>
            </w:r>
          </w:p>
        </w:tc>
      </w:tr>
      <w:tr>
        <w:trPr/>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Itu</w:t>
            </w:r>
            <w:r>
              <w:rPr>
                <w:rFonts w:ascii="Arial" w:hAnsi="Arial" w:cs="Arial"/>
                <w:sz w:val="18"/>
                <w:szCs w:val="18"/>
              </w:rPr>
            </w:r>
            <w:r>
              <w:rPr>
                <w:rFonts w:ascii="Arial" w:hAnsi="Arial"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640,719</w:t>
            </w:r>
            <w:r>
              <w:rPr>
                <w:rFonts w:ascii="Arial" w:hAnsi="Arial" w:cs="Arial"/>
                <w:sz w:val="18"/>
                <w:szCs w:val="18"/>
              </w:rPr>
            </w:r>
            <w:r>
              <w:rPr>
                <w:rFonts w:ascii="Arial" w:hAnsi="Arial"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168.240</w:t>
            </w:r>
            <w:r>
              <w:rPr>
                <w:rFonts w:ascii="Arial" w:hAnsi="Arial" w:cs="Arial"/>
                <w:sz w:val="18"/>
                <w:szCs w:val="18"/>
              </w:rPr>
            </w:r>
            <w:r>
              <w:rPr>
                <w:rFonts w:ascii="Arial" w:hAnsi="Arial"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262,58hab/km²</w:t>
            </w:r>
            <w:r>
              <w:rPr>
                <w:rFonts w:ascii="Arial" w:hAnsi="Arial" w:cs="Arial"/>
                <w:sz w:val="18"/>
                <w:szCs w:val="18"/>
              </w:rPr>
            </w:r>
            <w:r>
              <w:rPr>
                <w:rFonts w:ascii="Arial" w:hAnsi="Arial"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0,773</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R$ 56.474,15</w:t>
            </w:r>
            <w:r>
              <w:rPr>
                <w:rFonts w:ascii="Arial" w:hAnsi="Arial" w:cs="Arial"/>
                <w:sz w:val="18"/>
                <w:szCs w:val="18"/>
              </w:rPr>
            </w:r>
            <w:r>
              <w:rPr>
                <w:rFonts w:ascii="Arial" w:hAnsi="Arial" w:cs="Arial"/>
                <w:sz w:val="18"/>
                <w:szCs w:val="18"/>
              </w:rPr>
            </w:r>
          </w:p>
        </w:tc>
      </w:tr>
      <w:tr>
        <w:trPr/>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eastAsia="Calibri" w:cs="Arial"/>
                <w:b/>
                <w:bCs/>
                <w:sz w:val="18"/>
                <w:szCs w:val="18"/>
              </w:rPr>
            </w:pPr>
            <w:r>
              <w:rPr>
                <w:rFonts w:ascii="Arial" w:hAnsi="Arial" w:cs="Arial"/>
                <w:sz w:val="18"/>
                <w:szCs w:val="18"/>
              </w:rPr>
              <w:t xml:space="preserve">Mairinque</w:t>
            </w:r>
            <w:r>
              <w:rPr>
                <w:rFonts w:ascii="Arial" w:hAnsi="Arial" w:eastAsia="Calibri" w:cs="Arial"/>
                <w:b/>
                <w:bCs/>
                <w:sz w:val="18"/>
                <w:szCs w:val="18"/>
              </w:rPr>
            </w:r>
            <w:r>
              <w:rPr>
                <w:rFonts w:ascii="Arial" w:hAnsi="Arial" w:eastAsia="Calibri" w:cs="Arial"/>
                <w:b/>
                <w:bCs/>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210,149</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49.972</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237,79hab/km²</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0,743</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R$ 69.921,89</w:t>
            </w:r>
            <w:r>
              <w:rPr>
                <w:rFonts w:ascii="Arial" w:hAnsi="Arial" w:eastAsia="Calibri" w:cs="Arial"/>
                <w:sz w:val="18"/>
                <w:szCs w:val="18"/>
              </w:rPr>
            </w:r>
            <w:r>
              <w:rPr>
                <w:rFonts w:ascii="Arial" w:hAnsi="Arial" w:eastAsia="Calibri" w:cs="Arial"/>
                <w:sz w:val="18"/>
                <w:szCs w:val="18"/>
              </w:rPr>
            </w:r>
          </w:p>
        </w:tc>
      </w:tr>
      <w:tr>
        <w:trPr/>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eastAsia="Calibri" w:cs="Arial"/>
                <w:b/>
                <w:bCs/>
                <w:sz w:val="18"/>
                <w:szCs w:val="18"/>
              </w:rPr>
            </w:pPr>
            <w:r>
              <w:rPr>
                <w:rFonts w:ascii="Arial" w:hAnsi="Arial" w:cs="Arial"/>
                <w:sz w:val="18"/>
                <w:szCs w:val="18"/>
              </w:rPr>
              <w:t xml:space="preserve">Porto Feliz</w:t>
            </w:r>
            <w:r>
              <w:rPr>
                <w:rFonts w:ascii="Arial" w:hAnsi="Arial" w:eastAsia="Calibri" w:cs="Arial"/>
                <w:b/>
                <w:bCs/>
                <w:sz w:val="18"/>
                <w:szCs w:val="18"/>
              </w:rPr>
            </w:r>
            <w:r>
              <w:rPr>
                <w:rFonts w:ascii="Arial" w:hAnsi="Arial" w:eastAsia="Calibri" w:cs="Arial"/>
                <w:b/>
                <w:bCs/>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556,706</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56.497</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101,48hab/km²</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0,758</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R$ 77.029,01</w:t>
            </w:r>
            <w:r>
              <w:rPr>
                <w:rFonts w:ascii="Arial" w:hAnsi="Arial" w:eastAsia="Calibri" w:cs="Arial"/>
                <w:sz w:val="18"/>
                <w:szCs w:val="18"/>
              </w:rPr>
            </w:r>
            <w:r>
              <w:rPr>
                <w:rFonts w:ascii="Arial" w:hAnsi="Arial" w:eastAsia="Calibri" w:cs="Arial"/>
                <w:sz w:val="18"/>
                <w:szCs w:val="18"/>
              </w:rPr>
            </w:r>
          </w:p>
        </w:tc>
      </w:tr>
      <w:tr>
        <w:trPr/>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eastAsia="Calibri" w:cs="Arial"/>
                <w:b/>
                <w:bCs/>
                <w:sz w:val="18"/>
                <w:szCs w:val="18"/>
              </w:rPr>
            </w:pPr>
            <w:r>
              <w:rPr>
                <w:rFonts w:ascii="Arial" w:hAnsi="Arial" w:cs="Arial"/>
                <w:sz w:val="18"/>
                <w:szCs w:val="18"/>
              </w:rPr>
              <w:t xml:space="preserve">Salto</w:t>
            </w:r>
            <w:r>
              <w:rPr>
                <w:rFonts w:ascii="Arial" w:hAnsi="Arial" w:eastAsia="Calibri" w:cs="Arial"/>
                <w:b/>
                <w:bCs/>
                <w:sz w:val="18"/>
                <w:szCs w:val="18"/>
              </w:rPr>
            </w:r>
            <w:r>
              <w:rPr>
                <w:rFonts w:ascii="Arial" w:hAnsi="Arial" w:eastAsia="Calibri" w:cs="Arial"/>
                <w:b/>
                <w:bCs/>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133,057²</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134.319</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1.009,48hab/km²</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0,780</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R$ 37.074,85</w:t>
            </w:r>
            <w:r>
              <w:rPr>
                <w:rFonts w:ascii="Arial" w:hAnsi="Arial" w:eastAsia="Calibri" w:cs="Arial"/>
                <w:sz w:val="18"/>
                <w:szCs w:val="18"/>
              </w:rPr>
            </w:r>
            <w:r>
              <w:rPr>
                <w:rFonts w:ascii="Arial" w:hAnsi="Arial" w:eastAsia="Calibri" w:cs="Arial"/>
                <w:sz w:val="18"/>
                <w:szCs w:val="18"/>
              </w:rPr>
            </w:r>
          </w:p>
        </w:tc>
      </w:tr>
      <w:tr>
        <w:trPr>
          <w:trHeight w:val="50"/>
        </w:trPr>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eastAsia="Calibri" w:cs="Arial"/>
                <w:b/>
                <w:bCs/>
                <w:sz w:val="18"/>
                <w:szCs w:val="18"/>
              </w:rPr>
            </w:pPr>
            <w:r>
              <w:rPr>
                <w:rFonts w:ascii="Arial" w:hAnsi="Arial" w:cs="Arial"/>
                <w:sz w:val="18"/>
                <w:szCs w:val="18"/>
              </w:rPr>
              <w:t xml:space="preserve">São Roque</w:t>
            </w:r>
            <w:r>
              <w:rPr>
                <w:rFonts w:ascii="Arial" w:hAnsi="Arial" w:eastAsia="Calibri" w:cs="Arial"/>
                <w:b/>
                <w:bCs/>
                <w:sz w:val="18"/>
                <w:szCs w:val="18"/>
              </w:rPr>
            </w:r>
            <w:r>
              <w:rPr>
                <w:rFonts w:ascii="Arial" w:hAnsi="Arial" w:eastAsia="Calibri" w:cs="Arial"/>
                <w:b/>
                <w:bCs/>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306,908</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79.484</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258,98hab/km²</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0,768</w:t>
            </w:r>
            <w:r>
              <w:rPr>
                <w:rFonts w:ascii="Arial" w:hAnsi="Arial" w:eastAsia="Calibri" w:cs="Arial"/>
                <w:sz w:val="18"/>
                <w:szCs w:val="18"/>
              </w:rPr>
            </w:r>
            <w:r>
              <w:rPr>
                <w:rFonts w:ascii="Arial" w:hAnsi="Arial" w:eastAsia="Calibri" w:cs="Arial"/>
                <w:sz w:val="18"/>
                <w:szCs w:val="18"/>
              </w:rPr>
            </w:r>
          </w:p>
        </w:tc>
        <w:tc>
          <w:tcPr>
            <w:shd w:val="clear" w:color="auto" w:fill="b4c6e7" w:themeFill="accent1" w:themeFillTint="66"/>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R$ 34.075,10</w:t>
            </w:r>
            <w:r>
              <w:rPr>
                <w:rFonts w:ascii="Arial" w:hAnsi="Arial" w:eastAsia="Calibri" w:cs="Arial"/>
                <w:sz w:val="18"/>
                <w:szCs w:val="18"/>
              </w:rPr>
            </w:r>
            <w:r>
              <w:rPr>
                <w:rFonts w:ascii="Arial" w:hAnsi="Arial" w:eastAsia="Calibri"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Araçoiaba da Serra</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255,305</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32.443</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127,08hab/km²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0,776</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R$ 25.010,80</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Iperó</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170,289</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36.459</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214,10hab/km²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0,719</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R$ 20.765,46</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Piedade</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746,868</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52.970</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70,92hab/km²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eastAsia="Calibri" w:cs="Arial"/>
                <w:sz w:val="18"/>
                <w:szCs w:val="18"/>
              </w:rPr>
              <w:t xml:space="preserve">0,716</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R$ 29.984,35</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Pilar do Sul</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681,248</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27.611</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40,53hab/km²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0,690</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R$ 43.096,72</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Salto de Pirapora</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280,412</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43.748</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156,01hab/km²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0,729</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R$ 48.000,00</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São Miguel Arcanjo</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930,339</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32.039</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34,44hab/km²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0,710</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R$ 28.853,83</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Sorocaba</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449,872</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723.574</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1.608,40hab/km²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0,798</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R$ 64.046,61</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Tapiraí</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755,100</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7.996</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10,59hab/km²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0,681</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R$ 24.000,00</w:t>
            </w:r>
            <w:r>
              <w:rPr>
                <w:rFonts w:ascii="Arial" w:hAnsi="Arial" w:cs="Arial"/>
                <w:sz w:val="18"/>
                <w:szCs w:val="18"/>
              </w:rPr>
            </w:r>
            <w:r>
              <w:rPr>
                <w:rFonts w:ascii="Arial" w:hAnsi="Arial" w:cs="Arial"/>
                <w:sz w:val="18"/>
                <w:szCs w:val="18"/>
              </w:rPr>
            </w:r>
          </w:p>
        </w:tc>
      </w:tr>
      <w:tr>
        <w:trPr/>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968"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Votorantim</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21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184,186</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83"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127.923</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701" w:type="dxa"/>
            <w:vAlign w:val="center"/>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694,53hab/km²</w:t>
            </w:r>
            <w:r>
              <w:rPr>
                <w:rFonts w:ascii="Arial" w:hAnsi="Arial" w:cs="Arial"/>
                <w:sz w:val="18"/>
                <w:szCs w:val="18"/>
              </w:rPr>
            </w:r>
            <w:r>
              <w:rPr>
                <w:rFonts w:ascii="Arial" w:hAnsi="Arial"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052" w:type="dxa"/>
            <w:vAlign w:val="center"/>
            <w:textDirection w:val="lrTb"/>
            <w:noWrap w:val="false"/>
          </w:tcPr>
          <w:p>
            <w:pPr>
              <w:pBdr/>
              <w:spacing w:line="276" w:lineRule="auto"/>
              <w:ind/>
              <w:jc w:val="both"/>
              <w:rPr>
                <w:rFonts w:ascii="Arial" w:hAnsi="Arial" w:eastAsia="Calibri" w:cs="Arial"/>
                <w:sz w:val="18"/>
                <w:szCs w:val="18"/>
              </w:rPr>
            </w:pPr>
            <w:r>
              <w:rPr>
                <w:rFonts w:ascii="Arial" w:hAnsi="Arial" w:cs="Arial"/>
                <w:sz w:val="18"/>
                <w:szCs w:val="18"/>
              </w:rPr>
              <w:t xml:space="preserve">0,767</w:t>
            </w:r>
            <w:r>
              <w:rPr>
                <w:rFonts w:ascii="Arial" w:hAnsi="Arial" w:eastAsia="Calibri" w:cs="Arial"/>
                <w:sz w:val="18"/>
                <w:szCs w:val="18"/>
              </w:rPr>
            </w:r>
            <w:r>
              <w:rPr>
                <w:rFonts w:ascii="Arial" w:hAnsi="Arial" w:eastAsia="Calibri" w:cs="Arial"/>
                <w:sz w:val="18"/>
                <w:szCs w:val="18"/>
              </w:rPr>
            </w:r>
          </w:p>
        </w:tc>
        <w:tc>
          <w:tcPr>
            <w:shd w:val="clear" w:color="auto" w:fill="d9e2f3" w:themeFill="accent1" w:themeFillTint="33"/>
            <w:tcBorders>
              <w:top w:val="single" w:color="000000" w:sz="4" w:space="0"/>
              <w:left w:val="single" w:color="000000" w:sz="4" w:space="0"/>
              <w:bottom w:val="single" w:color="000000" w:sz="4" w:space="0"/>
              <w:right w:val="single" w:color="000000" w:sz="4" w:space="0"/>
            </w:tcBorders>
            <w:tcW w:w="1411" w:type="dxa"/>
            <w:textDirection w:val="lrTb"/>
            <w:noWrap w:val="false"/>
          </w:tcPr>
          <w:p>
            <w:pPr>
              <w:pBdr/>
              <w:spacing w:line="276" w:lineRule="auto"/>
              <w:ind/>
              <w:jc w:val="both"/>
              <w:rPr>
                <w:rFonts w:ascii="Arial" w:hAnsi="Arial" w:cs="Arial"/>
                <w:sz w:val="18"/>
                <w:szCs w:val="18"/>
              </w:rPr>
            </w:pPr>
            <w:r>
              <w:rPr>
                <w:rFonts w:ascii="Arial" w:hAnsi="Arial" w:cs="Arial"/>
                <w:sz w:val="18"/>
                <w:szCs w:val="18"/>
              </w:rPr>
              <w:t xml:space="preserve">R$ 31.487,90</w:t>
            </w:r>
            <w:r>
              <w:rPr>
                <w:rFonts w:ascii="Arial" w:hAnsi="Arial" w:cs="Arial"/>
                <w:sz w:val="18"/>
                <w:szCs w:val="18"/>
              </w:rPr>
            </w:r>
            <w:r>
              <w:rPr>
                <w:rFonts w:ascii="Arial" w:hAnsi="Arial" w:cs="Arial"/>
                <w:sz w:val="18"/>
                <w:szCs w:val="18"/>
              </w:rPr>
            </w:r>
          </w:p>
        </w:tc>
      </w:tr>
    </w:tbl>
    <w:p>
      <w:pPr>
        <w:pBdr/>
        <w:spacing w:after="0" w:before="240" w:line="360" w:lineRule="auto"/>
        <w:ind/>
        <w:jc w:val="both"/>
        <w:rPr>
          <w:rFonts w:ascii="Arial" w:hAnsi="Arial" w:cs="Arial"/>
        </w:rPr>
      </w:pPr>
      <w:r>
        <w:rPr>
          <w:rFonts w:ascii="Arial" w:hAnsi="Arial" w:cs="Arial"/>
          <w:b/>
          <w:bCs/>
        </w:rPr>
        <w:t xml:space="preserve">Fonte:</w:t>
      </w:r>
      <w:r>
        <w:rPr>
          <w:rFonts w:ascii="Arial" w:hAnsi="Arial" w:cs="Arial"/>
        </w:rPr>
        <w:t xml:space="preserve"> IBGE Cidades da sub-região II da RMS, Estudo do Núcleo Docente Estruturante do </w:t>
      </w:r>
      <w:r>
        <w:rPr>
          <w:rFonts w:ascii="Arial" w:hAnsi="Arial" w:cs="Arial"/>
        </w:rPr>
        <w:t xml:space="preserve">Curso Superior de Tecnologia em Processos Gerenciais</w:t>
      </w:r>
      <w:r>
        <w:rPr>
          <w:rFonts w:ascii="Arial" w:hAnsi="Arial" w:cs="Arial"/>
        </w:rPr>
        <w:t xml:space="preserve">, 2024. </w:t>
      </w:r>
      <w:r>
        <w:rPr>
          <w:rFonts w:ascii="Arial" w:hAnsi="Arial" w:cs="Arial"/>
        </w:rPr>
      </w:r>
      <w:r>
        <w:rPr>
          <w:rFonts w:ascii="Arial" w:hAnsi="Arial" w:cs="Arial"/>
        </w:rPr>
      </w:r>
    </w:p>
    <w:p>
      <w:pPr>
        <w:widowControl w:val="false"/>
        <w:pBdr/>
        <w:spacing w:line="360" w:lineRule="auto"/>
        <w:ind w:right="-1"/>
        <w:jc w:val="both"/>
        <w:rPr>
          <w:rFonts w:ascii="Arial" w:hAnsi="Arial" w:cs="Arial"/>
        </w:rPr>
      </w:pPr>
      <w:r>
        <w:rPr>
          <w:rFonts w:ascii="Arial" w:hAnsi="Arial" w:cs="Arial"/>
        </w:rPr>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A RMS destaca-se em âmbito nacional por intensa e diversificada atividade econômica, caracterizada por produção indust</w:t>
      </w:r>
      <w:r>
        <w:rPr>
          <w:rFonts w:ascii="Arial" w:hAnsi="Arial" w:cs="Arial"/>
        </w:rPr>
        <w:t xml:space="preserve">rial altamente desenvolvida, com predominância dos setores metalmecânico, eletroeletrônico, têxtil e agronegócio (cana-de-açúcar). Destes, seis apresentam especial relevância na economia paulista: Sorocaba, Itu, Itapetininga, Salto, Cerquilho e Votorantim.</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A Região Metropolitana de Sorocaba (RMS), onde se insere o município de Itu, destaca-se por s</w:t>
      </w:r>
      <w:r>
        <w:rPr>
          <w:rFonts w:ascii="Arial" w:hAnsi="Arial" w:cs="Arial"/>
        </w:rPr>
        <w:t xml:space="preserve">ua alta relevância econômica e populacional. Com mais de dois milhões de habitantes e um PIB regional expressivo, a região ocupa posição de destaque no cenário nacional, contribuindo com cerca de 4,25% do Produto Interno Bruto (PIB) paulista (SEADE, 2024).</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A cidade de Itu apresenta um ambiente favorável ao desenvolvime</w:t>
      </w:r>
      <w:r>
        <w:rPr>
          <w:rFonts w:ascii="Arial" w:hAnsi="Arial" w:cs="Arial"/>
        </w:rPr>
        <w:t xml:space="preserve">nto de atividades econômicas e educacionais. Com um PIB per capita de R$ 56.474,15, superior à média estadual e regional, o município se consolida como centro de influência regional, com crescente demanda por mão de obra qualificada (Caravela Dados, 2025).</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O município de Itu abriga importantes polos industriais nos setores metalúrgico, automotivo, eletroeletrônico, químico e de alimentos. Empresas como KIA Motors, </w:t>
      </w:r>
      <w:r>
        <w:rPr>
          <w:rFonts w:ascii="Arial" w:hAnsi="Arial" w:cs="Arial"/>
        </w:rPr>
        <w:t xml:space="preserve">Bravox</w:t>
      </w:r>
      <w:r>
        <w:rPr>
          <w:rFonts w:ascii="Arial" w:hAnsi="Arial" w:cs="Arial"/>
        </w:rPr>
        <w:t xml:space="preserve"> e </w:t>
      </w:r>
      <w:r>
        <w:rPr>
          <w:rFonts w:ascii="Arial" w:hAnsi="Arial" w:cs="Arial"/>
        </w:rPr>
        <w:t xml:space="preserve">Aisin</w:t>
      </w:r>
      <w:r>
        <w:rPr>
          <w:rFonts w:ascii="Arial" w:hAnsi="Arial" w:cs="Arial"/>
        </w:rPr>
        <w:t xml:space="preserve"> </w:t>
      </w:r>
      <w:r>
        <w:rPr>
          <w:rFonts w:ascii="Arial" w:hAnsi="Arial" w:cs="Arial"/>
        </w:rPr>
        <w:t xml:space="preserve">Automotive</w:t>
      </w:r>
      <w:r>
        <w:rPr>
          <w:rFonts w:ascii="Arial" w:hAnsi="Arial" w:cs="Arial"/>
        </w:rPr>
        <w:t xml:space="preserve"> integram esse cenário, gerando empregos e fomentando a inovação industrial (</w:t>
      </w:r>
      <w:r>
        <w:rPr>
          <w:rFonts w:ascii="Arial" w:hAnsi="Arial" w:cs="Arial"/>
        </w:rPr>
        <w:t xml:space="preserve">Econodata</w:t>
      </w:r>
      <w:r>
        <w:rPr>
          <w:rFonts w:ascii="Arial" w:hAnsi="Arial" w:cs="Arial"/>
        </w:rPr>
        <w:t xml:space="preserve">, 2025).</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highlight w:val="none"/>
        </w:rPr>
      </w:pPr>
      <w:r>
        <w:rPr>
          <w:rFonts w:ascii="Arial" w:hAnsi="Arial" w:cs="Arial"/>
        </w:rPr>
        <w:t xml:space="preserve">Nesse contexto, a formação de tecnólogos em Processos Gerenciais é estratégica. O curso forma p</w:t>
      </w:r>
      <w:r>
        <w:rPr>
          <w:rFonts w:ascii="Arial" w:hAnsi="Arial" w:cs="Arial"/>
        </w:rPr>
        <w:t xml:space="preserve">rofissionais com competências técnicas e gerenciais voltadas à excelência organizacional, tais como: </w:t>
      </w:r>
      <w:r>
        <w:rPr>
          <w:rFonts w:ascii="Arial" w:hAnsi="Arial" w:cs="Arial"/>
          <w:highlight w:val="none"/>
        </w:rPr>
        <w:t xml:space="preserve">Planejamento Estratégico</w:t>
      </w:r>
      <w:r>
        <w:rPr>
          <w:rFonts w:ascii="Arial" w:hAnsi="Arial" w:cs="Arial"/>
          <w:highlight w:val="none"/>
        </w:rPr>
        <w:t xml:space="preserve"> - </w:t>
      </w:r>
      <w:r>
        <w:rPr>
          <w:rFonts w:ascii="Arial" w:hAnsi="Arial" w:cs="Arial"/>
          <w:highlight w:val="none"/>
        </w:rPr>
        <w:t xml:space="preserve">Capacidade de definir metas, estratégias e ações para alcançar objetivos organizacionais; </w:t>
      </w:r>
      <w:r>
        <w:rPr>
          <w:rFonts w:ascii="Arial" w:hAnsi="Arial" w:cs="Arial"/>
          <w:highlight w:val="none"/>
        </w:rPr>
        <w:t xml:space="preserve">Tomada de Decisão</w:t>
      </w:r>
      <w:r>
        <w:rPr>
          <w:rFonts w:ascii="Arial" w:hAnsi="Arial" w:cs="Arial"/>
          <w:highlight w:val="none"/>
        </w:rPr>
        <w:t xml:space="preserve"> - </w:t>
      </w:r>
      <w:r>
        <w:rPr>
          <w:rFonts w:ascii="Arial" w:hAnsi="Arial" w:cs="Arial"/>
          <w:highlight w:val="none"/>
        </w:rPr>
        <w:t xml:space="preserve">Uso de dados e informações para decisões eficazes e responsáveis; </w:t>
      </w:r>
      <w:r>
        <w:rPr>
          <w:rFonts w:ascii="Arial" w:hAnsi="Arial" w:cs="Arial"/>
          <w:highlight w:val="none"/>
        </w:rPr>
        <w:t xml:space="preserve">Gestão de Pessoas</w:t>
      </w:r>
      <w:r>
        <w:t xml:space="preserve"> - </w:t>
      </w:r>
      <w:r>
        <w:rPr>
          <w:rFonts w:ascii="Arial" w:hAnsi="Arial" w:cs="Arial"/>
          <w:highlight w:val="none"/>
        </w:rPr>
        <w:t xml:space="preserve">Liderança, comunicação, motivação e desenvolvimento de equipes; </w:t>
      </w:r>
      <w:r>
        <w:rPr>
          <w:rFonts w:ascii="Arial" w:hAnsi="Arial" w:cs="Arial"/>
          <w:highlight w:val="none"/>
        </w:rPr>
        <w:t xml:space="preserve">Gestão Financeira</w:t>
      </w:r>
      <w:r>
        <w:rPr>
          <w:rFonts w:ascii="Arial" w:hAnsi="Arial" w:cs="Arial"/>
          <w:highlight w:val="none"/>
        </w:rPr>
        <w:t xml:space="preserve"> - </w:t>
      </w:r>
      <w:r>
        <w:rPr>
          <w:rFonts w:ascii="Arial" w:hAnsi="Arial" w:cs="Arial"/>
          <w:highlight w:val="none"/>
        </w:rPr>
        <w:t xml:space="preserve">Controle de orçamento, fluxo de caixa, investimentos e custos;  </w:t>
      </w:r>
      <w:r>
        <w:rPr>
          <w:rFonts w:ascii="Arial" w:hAnsi="Arial" w:cs="Arial"/>
          <w:highlight w:val="none"/>
        </w:rPr>
        <w:t xml:space="preserve">Gestão de Processos - </w:t>
      </w:r>
      <w:r>
        <w:rPr>
          <w:rFonts w:ascii="Arial" w:hAnsi="Arial" w:cs="Arial"/>
          <w:highlight w:val="none"/>
        </w:rPr>
        <w:t xml:space="preserve">Mapeamento, análise e melhoria contínua de processos organizacionais; </w:t>
      </w:r>
      <w:r>
        <w:rPr>
          <w:rFonts w:ascii="Arial" w:hAnsi="Arial" w:cs="Arial"/>
          <w:highlight w:val="none"/>
        </w:rPr>
        <w:t xml:space="preserve">Empreendedorismo e Inovação</w:t>
      </w:r>
      <w:r>
        <w:t xml:space="preserve"> - </w:t>
      </w:r>
      <w:r>
        <w:rPr>
          <w:rFonts w:ascii="Arial" w:hAnsi="Arial" w:cs="Arial"/>
          <w:highlight w:val="none"/>
        </w:rPr>
        <w:t xml:space="preserve">Criação de soluções criativas e sustentáveis para problemas e oportunidades de negócio; </w:t>
      </w:r>
      <w:r>
        <w:rPr>
          <w:rFonts w:ascii="Arial" w:hAnsi="Arial" w:cs="Arial"/>
          <w:highlight w:val="none"/>
        </w:rPr>
        <w:t xml:space="preserve">Marketing e Vendas</w:t>
      </w:r>
      <w:r>
        <w:t xml:space="preserve"> - </w:t>
      </w:r>
      <w:r>
        <w:rPr>
          <w:rFonts w:ascii="Arial" w:hAnsi="Arial" w:cs="Arial"/>
          <w:highlight w:val="none"/>
        </w:rPr>
        <w:t xml:space="preserve">Análise de mercado, estratégias de comunicação e relacionamento com clientes; </w:t>
      </w:r>
      <w:r>
        <w:rPr>
          <w:rFonts w:ascii="Arial" w:hAnsi="Arial" w:cs="Arial"/>
          <w:highlight w:val="none"/>
        </w:rPr>
        <w:t xml:space="preserve">Gestão da Qualidade</w:t>
      </w:r>
      <w:r>
        <w:rPr>
          <w:rFonts w:ascii="Arial" w:hAnsi="Arial" w:cs="Arial"/>
          <w:highlight w:val="none"/>
        </w:rPr>
        <w:t xml:space="preserve"> - </w:t>
      </w:r>
      <w:r>
        <w:rPr>
          <w:rFonts w:ascii="Arial" w:hAnsi="Arial" w:cs="Arial"/>
          <w:highlight w:val="none"/>
        </w:rPr>
        <w:t xml:space="preserve">Aplicação de métodos para garantir eficiência, conformidade e melhoria contínua; </w:t>
      </w:r>
      <w:r>
        <w:rPr>
          <w:rFonts w:ascii="Arial" w:hAnsi="Arial" w:cs="Arial"/>
          <w:highlight w:val="none"/>
        </w:rPr>
        <w:t xml:space="preserve">Gestão de Projetos</w:t>
      </w:r>
      <w:r>
        <w:rPr>
          <w:rFonts w:ascii="Arial" w:hAnsi="Arial" w:cs="Arial"/>
          <w:highlight w:val="none"/>
        </w:rPr>
        <w:t xml:space="preserve"> - </w:t>
      </w:r>
      <w:r>
        <w:rPr>
          <w:rFonts w:ascii="Arial" w:hAnsi="Arial" w:cs="Arial"/>
          <w:highlight w:val="none"/>
        </w:rPr>
        <w:t xml:space="preserve">Planejamento, execução e controle de projetos com foco em resultados;  </w:t>
      </w:r>
      <w:r>
        <w:rPr>
          <w:rFonts w:ascii="Arial" w:hAnsi="Arial" w:cs="Arial"/>
          <w:highlight w:val="none"/>
        </w:rPr>
        <w:t xml:space="preserve">Tecnologia da Informação</w:t>
      </w:r>
      <w:r>
        <w:t xml:space="preserve"> - </w:t>
      </w:r>
      <w:r>
        <w:rPr>
          <w:rFonts w:ascii="Arial" w:hAnsi="Arial" w:cs="Arial"/>
          <w:highlight w:val="none"/>
        </w:rPr>
        <w:t xml:space="preserve">Uso de ferramentas digitais para apoiar a gestão e a tomada de decisão; </w:t>
      </w:r>
      <w:r>
        <w:rPr>
          <w:rFonts w:ascii="Arial" w:hAnsi="Arial" w:cs="Arial"/>
          <w:highlight w:val="none"/>
        </w:rPr>
        <w:t xml:space="preserve">Responsabilidade Socioambiental</w:t>
      </w:r>
      <w:r>
        <w:t xml:space="preserve"> - </w:t>
      </w:r>
      <w:r>
        <w:rPr>
          <w:rFonts w:ascii="Arial" w:hAnsi="Arial" w:cs="Arial"/>
          <w:highlight w:val="none"/>
        </w:rPr>
        <w:t xml:space="preserve">Atuação ética, sustentável e com impacto positivo na sociedade; </w:t>
      </w:r>
      <w:r>
        <w:rPr>
          <w:rFonts w:ascii="Arial" w:hAnsi="Arial" w:cs="Arial"/>
          <w:highlight w:val="none"/>
        </w:rPr>
        <w:t xml:space="preserve">Comunicação Organizacional</w:t>
      </w:r>
      <w:r>
        <w:t xml:space="preserve"> - </w:t>
      </w:r>
      <w:r>
        <w:rPr>
          <w:rFonts w:ascii="Arial" w:hAnsi="Arial" w:cs="Arial"/>
          <w:highlight w:val="none"/>
        </w:rPr>
        <w:t xml:space="preserve">Clareza, assertividade e eficácia na comunicação interna e externa.</w:t>
      </w:r>
      <w:r>
        <w:rPr>
          <w:rFonts w:ascii="Arial" w:hAnsi="Arial" w:cs="Arial"/>
          <w:highlight w:val="none"/>
        </w:rPr>
      </w:r>
      <w:r>
        <w:rPr>
          <w:rFonts w:ascii="Arial" w:hAnsi="Arial" w:cs="Arial"/>
          <w:highlight w:val="none"/>
        </w:rPr>
      </w:r>
    </w:p>
    <w:p>
      <w:pPr>
        <w:widowControl w:val="false"/>
        <w:pBdr/>
        <w:spacing w:after="0" w:line="360" w:lineRule="auto"/>
        <w:ind w:firstLine="708"/>
        <w:jc w:val="both"/>
        <w:rPr>
          <w:rFonts w:ascii="Arial" w:hAnsi="Arial" w:cs="Arial"/>
        </w:rPr>
      </w:pPr>
      <w:r>
        <w:rPr>
          <w:rFonts w:ascii="Arial" w:hAnsi="Arial" w:cs="Arial"/>
        </w:rPr>
        <w:t xml:space="preserve">. Essas competências são altamente valorizadas em setores industriais,  comércio e serviços.</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A RMS abriga cerca</w:t>
      </w:r>
      <w:r>
        <w:rPr>
          <w:rFonts w:ascii="Arial" w:hAnsi="Arial" w:cs="Arial"/>
        </w:rPr>
        <w:t xml:space="preserve"> de 3.500 indústrias e mais de 68.000 empresas de serviços. O volume e a diversidade de empreendimentos exigem profissionais com domínio em normas ISO, auditoria, metrologia, controle estatístico de processos e gestão estratégica da qualidade (IBGE, 2025).</w:t>
      </w:r>
      <w:r>
        <w:rPr>
          <w:rFonts w:ascii="Arial" w:hAnsi="Arial" w:cs="Arial"/>
        </w:rPr>
      </w:r>
      <w:r>
        <w:rPr>
          <w:rFonts w:ascii="Arial" w:hAnsi="Arial" w:cs="Arial"/>
        </w:rPr>
      </w:r>
    </w:p>
    <w:p>
      <w:pPr>
        <w:pBdr/>
        <w:spacing w:line="240" w:lineRule="auto"/>
        <w:ind/>
        <w:jc w:val="center"/>
        <w:rPr>
          <w:rFonts w:ascii="Arial" w:hAnsi="Arial" w:cs="Arial"/>
          <w:b/>
          <w:bCs/>
          <w:sz w:val="20"/>
          <w:szCs w:val="20"/>
        </w:rPr>
      </w:pPr>
      <w:r>
        <w:rPr>
          <w:rFonts w:ascii="Arial" w:hAnsi="Arial" w:cs="Arial"/>
          <w:b/>
          <w:bCs/>
          <w:sz w:val="20"/>
          <w:szCs w:val="20"/>
        </w:rPr>
      </w:r>
      <w:r>
        <w:rPr>
          <w:rFonts w:ascii="Arial" w:hAnsi="Arial" w:cs="Arial"/>
          <w:b/>
          <w:bCs/>
          <w:sz w:val="20"/>
          <w:szCs w:val="20"/>
        </w:rPr>
      </w:r>
      <w:r>
        <w:rPr>
          <w:rFonts w:ascii="Arial" w:hAnsi="Arial" w:cs="Arial"/>
          <w:b/>
          <w:bCs/>
          <w:sz w:val="20"/>
          <w:szCs w:val="20"/>
        </w:rPr>
      </w:r>
    </w:p>
    <w:p>
      <w:pPr>
        <w:pBdr/>
        <w:spacing w:line="240" w:lineRule="auto"/>
        <w:ind/>
        <w:jc w:val="center"/>
        <w:rPr>
          <w:rFonts w:ascii="Arial" w:hAnsi="Arial" w:cs="Arial"/>
          <w:b/>
          <w:bCs/>
          <w:sz w:val="20"/>
          <w:szCs w:val="20"/>
        </w:rPr>
      </w:pPr>
      <w:r>
        <w:rPr>
          <w:rFonts w:ascii="Arial" w:hAnsi="Arial" w:cs="Arial"/>
          <w:b/>
          <w:bCs/>
          <w:sz w:val="20"/>
          <w:szCs w:val="20"/>
        </w:rPr>
      </w:r>
      <w:r>
        <w:rPr>
          <w:rFonts w:ascii="Arial" w:hAnsi="Arial" w:cs="Arial"/>
          <w:b/>
          <w:bCs/>
          <w:sz w:val="20"/>
          <w:szCs w:val="20"/>
        </w:rPr>
      </w:r>
      <w:r>
        <w:rPr>
          <w:rFonts w:ascii="Arial" w:hAnsi="Arial" w:cs="Arial"/>
          <w:b/>
          <w:bCs/>
          <w:sz w:val="20"/>
          <w:szCs w:val="20"/>
        </w:rPr>
      </w:r>
    </w:p>
    <w:p>
      <w:pPr>
        <w:pBdr/>
        <w:spacing w:line="240" w:lineRule="auto"/>
        <w:ind/>
        <w:jc w:val="center"/>
        <w:rPr>
          <w:rFonts w:ascii="Arial" w:hAnsi="Arial" w:cs="Arial"/>
          <w:b/>
          <w:bCs/>
          <w:sz w:val="20"/>
          <w:szCs w:val="20"/>
        </w:rPr>
      </w:pPr>
      <w:r>
        <w:rPr>
          <w:rFonts w:ascii="Arial" w:hAnsi="Arial" w:cs="Arial"/>
          <w:b/>
          <w:bCs/>
          <w:sz w:val="20"/>
          <w:szCs w:val="20"/>
        </w:rPr>
      </w:r>
      <w:r>
        <w:rPr>
          <w:rFonts w:ascii="Arial" w:hAnsi="Arial" w:cs="Arial"/>
          <w:b/>
          <w:bCs/>
          <w:sz w:val="20"/>
          <w:szCs w:val="20"/>
        </w:rPr>
      </w:r>
      <w:r>
        <w:rPr>
          <w:rFonts w:ascii="Arial" w:hAnsi="Arial" w:cs="Arial"/>
          <w:b/>
          <w:bCs/>
          <w:sz w:val="20"/>
          <w:szCs w:val="20"/>
        </w:rPr>
      </w:r>
    </w:p>
    <w:p>
      <w:pPr>
        <w:pBdr/>
        <w:spacing w:line="240" w:lineRule="auto"/>
        <w:ind/>
        <w:jc w:val="center"/>
        <w:rPr>
          <w:rFonts w:ascii="Arial" w:hAnsi="Arial" w:cs="Arial"/>
          <w:b/>
          <w:bCs/>
          <w:sz w:val="20"/>
          <w:szCs w:val="20"/>
        </w:rPr>
      </w:pPr>
      <w:r>
        <w:rPr>
          <w:rFonts w:ascii="Arial" w:hAnsi="Arial" w:cs="Arial"/>
          <w:b/>
          <w:bCs/>
          <w:sz w:val="20"/>
          <w:szCs w:val="20"/>
        </w:rPr>
      </w:r>
      <w:r>
        <w:rPr>
          <w:rFonts w:ascii="Arial" w:hAnsi="Arial" w:cs="Arial"/>
          <w:b/>
          <w:bCs/>
          <w:sz w:val="20"/>
          <w:szCs w:val="20"/>
        </w:rPr>
      </w:r>
      <w:r>
        <w:rPr>
          <w:rFonts w:ascii="Arial" w:hAnsi="Arial" w:cs="Arial"/>
          <w:b/>
          <w:bCs/>
          <w:sz w:val="20"/>
          <w:szCs w:val="20"/>
        </w:rPr>
      </w:r>
    </w:p>
    <w:p>
      <w:pPr>
        <w:pBdr/>
        <w:spacing w:line="240" w:lineRule="auto"/>
        <w:ind/>
        <w:jc w:val="center"/>
        <w:rPr>
          <w:rFonts w:ascii="Arial" w:hAnsi="Arial" w:cs="Arial"/>
          <w:b/>
          <w:bCs/>
          <w:sz w:val="20"/>
          <w:szCs w:val="20"/>
        </w:rPr>
      </w:pPr>
      <w:r>
        <w:rPr>
          <w:rFonts w:ascii="Arial" w:hAnsi="Arial" w:cs="Arial"/>
          <w:b/>
          <w:bCs/>
          <w:sz w:val="20"/>
          <w:szCs w:val="20"/>
        </w:rPr>
      </w:r>
      <w:r>
        <w:rPr>
          <w:rFonts w:ascii="Arial" w:hAnsi="Arial" w:cs="Arial"/>
          <w:b/>
          <w:bCs/>
          <w:sz w:val="20"/>
          <w:szCs w:val="20"/>
        </w:rPr>
      </w:r>
      <w:r>
        <w:rPr>
          <w:rFonts w:ascii="Arial" w:hAnsi="Arial" w:cs="Arial"/>
          <w:b/>
          <w:bCs/>
          <w:sz w:val="20"/>
          <w:szCs w:val="20"/>
        </w:rPr>
      </w:r>
    </w:p>
    <w:p>
      <w:pPr>
        <w:pBdr/>
        <w:spacing w:line="240" w:lineRule="auto"/>
        <w:ind/>
        <w:jc w:val="center"/>
        <w:rPr>
          <w:rFonts w:ascii="Arial" w:hAnsi="Arial" w:cs="Arial"/>
          <w:b/>
          <w:bCs/>
          <w:sz w:val="20"/>
          <w:szCs w:val="20"/>
        </w:rPr>
      </w:pPr>
      <w:r>
        <w:rPr>
          <w:rFonts w:ascii="Arial" w:hAnsi="Arial" w:cs="Arial"/>
          <w:b/>
          <w:bCs/>
          <w:sz w:val="20"/>
          <w:szCs w:val="20"/>
        </w:rPr>
      </w:r>
      <w:r>
        <w:rPr>
          <w:rFonts w:ascii="Arial" w:hAnsi="Arial" w:cs="Arial"/>
          <w:b/>
          <w:bCs/>
          <w:sz w:val="20"/>
          <w:szCs w:val="20"/>
        </w:rPr>
      </w:r>
      <w:r>
        <w:rPr>
          <w:rFonts w:ascii="Arial" w:hAnsi="Arial" w:cs="Arial"/>
          <w:b/>
          <w:bCs/>
          <w:sz w:val="20"/>
          <w:szCs w:val="20"/>
        </w:rPr>
      </w:r>
    </w:p>
    <w:p>
      <w:pPr>
        <w:pBdr/>
        <w:spacing w:line="240" w:lineRule="auto"/>
        <w:ind/>
        <w:jc w:val="center"/>
        <w:rPr>
          <w:rFonts w:ascii="Arial" w:hAnsi="Arial" w:cs="Arial"/>
          <w:sz w:val="20"/>
          <w:szCs w:val="20"/>
        </w:rPr>
      </w:pPr>
      <w:r>
        <w:rPr>
          <w:rFonts w:ascii="Arial" w:hAnsi="Arial" w:cs="Arial"/>
          <w:b/>
          <w:bCs/>
          <w:sz w:val="20"/>
          <w:szCs w:val="20"/>
        </w:rPr>
        <w:t xml:space="preserve">Tabela 01:</w:t>
      </w:r>
      <w:r>
        <w:rPr>
          <w:rFonts w:ascii="Arial" w:hAnsi="Arial" w:cs="Arial"/>
          <w:sz w:val="20"/>
          <w:szCs w:val="20"/>
        </w:rPr>
        <w:t xml:space="preserve"> Quantidade de empresas da região</w:t>
      </w:r>
      <w:r>
        <w:rPr>
          <w:rFonts w:ascii="Arial" w:hAnsi="Arial" w:cs="Arial"/>
          <w:sz w:val="20"/>
          <w:szCs w:val="20"/>
        </w:rPr>
      </w:r>
      <w:r>
        <w:rPr>
          <w:rFonts w:ascii="Arial" w:hAnsi="Arial" w:cs="Arial"/>
          <w:sz w:val="20"/>
          <w:szCs w:val="20"/>
        </w:rPr>
      </w:r>
    </w:p>
    <w:p>
      <w:pPr>
        <w:pBdr/>
        <w:spacing w:line="360" w:lineRule="auto"/>
        <w:ind/>
        <w:jc w:val="center"/>
        <w:rPr>
          <w:rFonts w:ascii="Arial" w:hAnsi="Arial" w:cs="Arial"/>
        </w:rPr>
      </w:pPr>
      <w:r>
        <mc:AlternateContent>
          <mc:Choice Requires="wpg">
            <w:drawing>
              <wp:inline xmlns:wp="http://schemas.openxmlformats.org/drawingml/2006/wordprocessingDrawing" distT="0" distB="0" distL="0" distR="0">
                <wp:extent cx="2774950" cy="1821903"/>
                <wp:effectExtent l="0" t="0" r="6350" b="6985"/>
                <wp:docPr id="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r/>
                      </pic:nvPicPr>
                      <pic:blipFill rotWithShape="1">
                        <a:blip r:embed="rId17">
                          <a:extLst>
                            <a:ext uri="{96DAC541-7B7A-43D3-8B79-37D633B846F1}">
                              <asvg:svgBlip xmlns:asvg="http://schemas.microsoft.com/office/drawing/2016/SVG/main" r:embed="rId18"/>
                            </a:ext>
                          </a:extLst>
                        </a:blip>
                        <a:stretch/>
                      </pic:blipFill>
                      <pic:spPr bwMode="auto">
                        <a:xfrm>
                          <a:off x="0" y="0"/>
                          <a:ext cx="2832549" cy="185972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218.50pt;height:143.46pt;mso-wrap-distance-left:0.00pt;mso-wrap-distance-top:0.00pt;mso-wrap-distance-right:0.00pt;mso-wrap-distance-bottom:0.00pt;z-index:1;" stroked="f">
                <v:imagedata r:id="rId17" o:title=""/>
                <o:lock v:ext="edit" rotation="t"/>
              </v:shape>
            </w:pict>
          </mc:Fallback>
        </mc:AlternateContent>
      </w:r>
      <w:r>
        <w:rPr>
          <w:rFonts w:ascii="Arial" w:hAnsi="Arial" w:cs="Arial"/>
        </w:rPr>
      </w:r>
      <w:r>
        <w:rPr>
          <w:rFonts w:ascii="Arial" w:hAnsi="Arial" w:cs="Arial"/>
        </w:rPr>
      </w:r>
    </w:p>
    <w:p>
      <w:pPr>
        <w:pBdr/>
        <w:spacing w:line="240" w:lineRule="auto"/>
        <w:ind/>
        <w:jc w:val="center"/>
        <w:rPr/>
      </w:pPr>
      <w:r>
        <w:t xml:space="preserve">Fonte: </w:t>
      </w:r>
      <w:hyperlink r:id="rId19" w:tooltip="https://www.econodata.com.br/empresas" w:history="1">
        <w:r>
          <w:rPr>
            <w:rStyle w:val="967"/>
          </w:rPr>
          <w:t xml:space="preserve">https://www.econodata.com.br/empresas</w:t>
        </w:r>
      </w:hyperlink>
      <w:r>
        <w:t xml:space="preserve"> Consulta: 04/04/2025</w:t>
      </w:r>
      <w:r/>
    </w:p>
    <w:p>
      <w:pPr>
        <w:pBdr/>
        <w:spacing/>
        <w:ind/>
        <w:jc w:val="center"/>
        <w:rPr/>
      </w:pPr>
      <w:r/>
      <w:r/>
    </w:p>
    <w:p>
      <w:pPr>
        <w:pBdr/>
        <w:spacing w:line="240" w:lineRule="auto"/>
        <w:ind/>
        <w:jc w:val="center"/>
        <w:rPr>
          <w:rFonts w:ascii="Arial" w:hAnsi="Arial" w:cs="Arial"/>
          <w:sz w:val="20"/>
          <w:szCs w:val="20"/>
        </w:rPr>
      </w:pPr>
      <w:r>
        <w:rPr>
          <w:rFonts w:ascii="Arial" w:hAnsi="Arial" w:cs="Arial"/>
          <w:b/>
          <w:bCs/>
          <w:sz w:val="20"/>
          <w:szCs w:val="20"/>
        </w:rPr>
        <w:t xml:space="preserve">Tabela 0</w:t>
      </w:r>
      <w:r>
        <w:rPr>
          <w:rFonts w:ascii="Arial" w:hAnsi="Arial" w:cs="Arial"/>
          <w:b/>
          <w:bCs/>
          <w:sz w:val="20"/>
          <w:szCs w:val="20"/>
        </w:rPr>
        <w:t xml:space="preserve">2</w:t>
      </w:r>
      <w:r>
        <w:rPr>
          <w:rFonts w:ascii="Arial" w:hAnsi="Arial" w:cs="Arial"/>
          <w:b/>
          <w:bCs/>
          <w:sz w:val="20"/>
          <w:szCs w:val="20"/>
        </w:rPr>
        <w:t xml:space="preserve">:</w:t>
      </w:r>
      <w:r>
        <w:rPr>
          <w:rFonts w:ascii="Arial" w:hAnsi="Arial" w:cs="Arial"/>
          <w:sz w:val="20"/>
          <w:szCs w:val="20"/>
        </w:rPr>
        <w:t xml:space="preserve"> </w:t>
      </w:r>
      <w:r>
        <w:rPr>
          <w:rFonts w:ascii="Arial" w:hAnsi="Arial" w:cs="Arial"/>
          <w:sz w:val="20"/>
          <w:szCs w:val="20"/>
        </w:rPr>
        <w:t xml:space="preserve">Tipo</w:t>
      </w:r>
      <w:r>
        <w:rPr>
          <w:rFonts w:ascii="Arial" w:hAnsi="Arial" w:cs="Arial"/>
          <w:sz w:val="20"/>
          <w:szCs w:val="20"/>
        </w:rPr>
        <w:t xml:space="preserve"> de empresas da região</w:t>
      </w:r>
      <w:r>
        <w:rPr>
          <w:rFonts w:ascii="Arial" w:hAnsi="Arial" w:cs="Arial"/>
          <w:sz w:val="20"/>
          <w:szCs w:val="20"/>
        </w:rPr>
      </w:r>
      <w:r>
        <w:rPr>
          <w:rFonts w:ascii="Arial" w:hAnsi="Arial" w:cs="Arial"/>
          <w:sz w:val="20"/>
          <w:szCs w:val="20"/>
        </w:rPr>
      </w:r>
    </w:p>
    <w:p>
      <w:pPr>
        <w:pBdr/>
        <w:spacing/>
        <w:ind/>
        <w:jc w:val="center"/>
        <w:rPr/>
      </w:pPr>
      <w:r>
        <mc:AlternateContent>
          <mc:Choice Requires="wpg">
            <w:drawing>
              <wp:inline xmlns:wp="http://schemas.openxmlformats.org/drawingml/2006/wordprocessingDrawing" distT="0" distB="0" distL="0" distR="0">
                <wp:extent cx="4498934" cy="1741336"/>
                <wp:effectExtent l="0" t="0" r="0" b="0"/>
                <wp:docPr id="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r/>
                      </pic:nvPicPr>
                      <pic:blipFill rotWithShape="1">
                        <a:blip r:embed="rId20">
                          <a:extLst>
                            <a:ext uri="{96DAC541-7B7A-43D3-8B79-37D633B846F1}">
                              <asvg:svgBlip xmlns:asvg="http://schemas.microsoft.com/office/drawing/2016/SVG/main" r:embed="rId21"/>
                            </a:ext>
                          </a:extLst>
                        </a:blip>
                        <a:stretch/>
                      </pic:blipFill>
                      <pic:spPr bwMode="auto">
                        <a:xfrm>
                          <a:off x="0" y="0"/>
                          <a:ext cx="4531247" cy="1753843"/>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354.25pt;height:137.11pt;mso-wrap-distance-left:0.00pt;mso-wrap-distance-top:0.00pt;mso-wrap-distance-right:0.00pt;mso-wrap-distance-bottom:0.00pt;z-index:1;" stroked="f">
                <v:imagedata r:id="rId20" o:title=""/>
                <o:lock v:ext="edit" rotation="t"/>
              </v:shape>
            </w:pict>
          </mc:Fallback>
        </mc:AlternateContent>
      </w:r>
      <w:r/>
    </w:p>
    <w:p>
      <w:pPr>
        <w:pBdr/>
        <w:spacing/>
        <w:ind/>
        <w:jc w:val="center"/>
        <w:rPr>
          <w:rFonts w:ascii="Arial" w:hAnsi="Arial" w:cs="Arial"/>
          <w:sz w:val="20"/>
          <w:szCs w:val="20"/>
        </w:rPr>
      </w:pPr>
      <w:r>
        <w:rPr>
          <w:rFonts w:ascii="Arial" w:hAnsi="Arial" w:cs="Arial"/>
          <w:sz w:val="20"/>
          <w:szCs w:val="20"/>
        </w:rPr>
        <w:t xml:space="preserve">Fonte: </w:t>
      </w:r>
      <w:hyperlink r:id="rId22" w:tooltip="https://www.ibge.gov.br/estatisticas/economicas/comercio/9016-estatisticas-do-cadastro-central-de-empresas.html" w:history="1">
        <w:r>
          <w:rPr>
            <w:rStyle w:val="967"/>
            <w:rFonts w:ascii="Arial" w:hAnsi="Arial" w:cs="Arial"/>
            <w:sz w:val="20"/>
            <w:szCs w:val="20"/>
          </w:rPr>
          <w:t xml:space="preserve">https://www.ibge.gov.br/estatisticas/economicas/comercio/9016-estatisticas-do-cadastro-central-de-empresas.html</w:t>
        </w:r>
      </w:hyperlink>
      <w:r>
        <w:rPr>
          <w:rFonts w:ascii="Arial" w:hAnsi="Arial" w:cs="Arial"/>
          <w:sz w:val="20"/>
          <w:szCs w:val="20"/>
        </w:rPr>
        <w:t xml:space="preserve"> Consulta: 04/04/2025</w:t>
      </w:r>
      <w:r>
        <w:rPr>
          <w:rFonts w:ascii="Arial" w:hAnsi="Arial" w:cs="Arial"/>
          <w:sz w:val="20"/>
          <w:szCs w:val="20"/>
        </w:rPr>
      </w:r>
      <w:r>
        <w:rPr>
          <w:rFonts w:ascii="Arial" w:hAnsi="Arial" w:cs="Arial"/>
          <w:sz w:val="20"/>
          <w:szCs w:val="20"/>
        </w:rPr>
      </w:r>
    </w:p>
    <w:p>
      <w:pPr>
        <w:widowControl w:val="false"/>
        <w:pBdr/>
        <w:spacing w:after="0" w:line="360" w:lineRule="auto"/>
        <w:ind w:firstLine="708"/>
        <w:jc w:val="both"/>
        <w:rPr>
          <w:rFonts w:ascii="Arial" w:hAnsi="Arial" w:cs="Arial"/>
        </w:rPr>
      </w:pPr>
      <w:r>
        <w:rPr>
          <w:rFonts w:ascii="Arial" w:hAnsi="Arial" w:cs="Arial"/>
        </w:rPr>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A presença de instituições como o Pa</w:t>
      </w:r>
      <w:r>
        <w:rPr>
          <w:rFonts w:ascii="Arial" w:hAnsi="Arial" w:cs="Arial"/>
        </w:rPr>
        <w:t xml:space="preserve">rque Tecnológico de Sorocaba e a Fundação PATRIA em Iperó reforça o ambiente de inovação da RMS. Isso exige a inserção de profissionais capazes de operar em contextos de alta complexidade tecnológica e comprometidos com padrões internacionais de qualidade.</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A cidade de Salto, próxima a Itu, fortalece ainda mais</w:t>
      </w:r>
      <w:r>
        <w:rPr>
          <w:rFonts w:ascii="Arial" w:hAnsi="Arial" w:cs="Arial"/>
        </w:rPr>
        <w:t xml:space="preserve"> o ambiente loco-regional, com destaque na indústria e no setor de serviços. A proximidade geográfica e a interligação por rodovias estratégicas favorecem o deslocamento de estudantes e egressos, ampliando o raio de empregabilidade dos formandos do CEUNSP.</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O curso do CEUNSP alinha-se às Diretrizes Curriculares Nacionais (</w:t>
      </w:r>
      <w:r>
        <w:rPr>
          <w:rFonts w:ascii="Arial" w:hAnsi="Arial" w:cs="Arial"/>
        </w:rPr>
        <w:t xml:space="preserve">Resolução CNE/CP nº 1, de 5 de janeiro de 2021), integrando teoria, prática e extensão universitária. As metodologias ativas, como a aprendizagem baseada em problemas (ABP), preparam os estudantes para tomada de decisão em ambientes corporativos complexos.</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A estrutura curricular co</w:t>
      </w:r>
      <w:r>
        <w:rPr>
          <w:rFonts w:ascii="Arial" w:hAnsi="Arial" w:cs="Arial"/>
        </w:rPr>
        <w:t xml:space="preserve">ntempla competências em gestão ambiental, gestão de projetos, engenharia da qualidade e auditorias de sistemas, que são requisitos nas indústrias da RMS, especialmente diante das exigências de competitividade global e transformação digital (Indústria 4.0).</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A análise do cenário educacional mostra que o CEUNSP supre </w:t>
      </w:r>
      <w:r>
        <w:rPr>
          <w:rFonts w:ascii="Arial" w:hAnsi="Arial" w:cs="Arial"/>
        </w:rPr>
        <w:t xml:space="preserve">lacunas existentes na oferta de cursos voltados à qualidade. A concorrência regional é composta por instituições como FADITU e UNICESUMAR, entretanto, o CEUNSP diferencia-se por sua forte ênfase prática, corpo docente qualificado e infraestrutura adequada.</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O curso forma profissionais aptos a atuarem como auditores da qualidade, analistas de processos, consultores de sistemas de gestão e supervisores de produção, </w:t>
      </w:r>
      <w:r>
        <w:rPr>
          <w:rFonts w:ascii="Arial" w:hAnsi="Arial" w:cs="Arial"/>
        </w:rPr>
        <w:t xml:space="preserve">com empregabilidade potencial em médias e grandes empresas locais. A prática extensionista e as parcerias com o SEBRAE e indústrias locais favorecem a inserção profissional precoce.</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Segundo o IBGE (2024), o setor de serviços re</w:t>
      </w:r>
      <w:r>
        <w:rPr>
          <w:rFonts w:ascii="Arial" w:hAnsi="Arial" w:cs="Arial"/>
        </w:rPr>
        <w:t xml:space="preserve">presenta a maior parcela da economia local, seguido pela indústria. Isso reforça a necessidade de formação de profissionais versáteis, com capacidade de transitar por diferentes setores e aplicar conhecimentos de gestão da qualidade de maneira transversal.</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Al</w:t>
      </w:r>
      <w:r>
        <w:rPr>
          <w:rFonts w:ascii="Arial" w:hAnsi="Arial" w:cs="Arial"/>
        </w:rPr>
        <w:t xml:space="preserve">ém das demandas econômicas, o curso também atende às necessidades sociais da região. O CEUNSP adota políticas de inclusão, como bolsas de estudo, nivelamento pedagógico e programas de apoio ao estudante, ampliando o acesso à educação superior de qualidade.</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Os egressos do curso apresentam competê</w:t>
      </w:r>
      <w:r>
        <w:rPr>
          <w:rFonts w:ascii="Arial" w:hAnsi="Arial" w:cs="Arial"/>
        </w:rPr>
        <w:t xml:space="preserve">ncias técnicas e socioemocionais alinhadas aos pilares da educação para o século XXI. A formação inclui valores como ética, responsabilidade social, inovação, empatia e respeito à diversidade, preparando o profissional para atuação cidadã e transformadora.</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O município de Itu, como sede do CEUNSP, é considerado um polo educacional e cultural, com forte tradição</w:t>
      </w:r>
      <w:r>
        <w:rPr>
          <w:rFonts w:ascii="Arial" w:hAnsi="Arial" w:cs="Arial"/>
        </w:rPr>
        <w:t xml:space="preserve"> histórica e vocação turística. A valorização do patrimônio cultural e o fomento ao empreendedorismo agregam valor ao perfil do egresso, que pode atuar também em projetos de melhoria da experiência turística e gestão da hospitalidade com foco na qualidade.</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Dessa forma, o Curso Superior de Tecnologia em Gestão da Qualidade do CEUNSP responde d</w:t>
      </w:r>
      <w:r>
        <w:rPr>
          <w:rFonts w:ascii="Arial" w:hAnsi="Arial" w:cs="Arial"/>
        </w:rPr>
        <w:t xml:space="preserve">e maneira eficaz às necessidades do contexto loco-regional. Sua proposta pedagógica, baseada em metodologias inovadoras, articulação entre teoria e prática, e compromisso com o desenvolvimento sustentável, é compatível com os desafios da contemporaneidade.</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O estudo de vagas justifica a oferta de 240 v</w:t>
      </w:r>
      <w:r>
        <w:rPr>
          <w:rFonts w:ascii="Arial" w:hAnsi="Arial" w:cs="Arial"/>
        </w:rPr>
        <w:t xml:space="preserve">agas anuais com base em dados socioeconômicos, infraestrutura institucional e capacidade docente. Essa definição considera os resultados de autoavaliações, indicadores de desempenho e projeções de demanda do mercado de trabalho regional (NDE CEUNSP, 2025).</w:t>
      </w:r>
      <w:r>
        <w:rPr>
          <w:rFonts w:ascii="Arial" w:hAnsi="Arial" w:cs="Arial"/>
        </w:rPr>
      </w:r>
      <w:r>
        <w:rPr>
          <w:rFonts w:ascii="Arial" w:hAnsi="Arial" w:cs="Arial"/>
        </w:rPr>
      </w:r>
    </w:p>
    <w:p>
      <w:pPr>
        <w:widowControl w:val="false"/>
        <w:pBdr/>
        <w:spacing w:after="0" w:line="360" w:lineRule="auto"/>
        <w:ind w:firstLine="708"/>
        <w:jc w:val="both"/>
        <w:rPr>
          <w:rFonts w:ascii="Arial" w:hAnsi="Arial" w:cs="Arial"/>
        </w:rPr>
      </w:pPr>
      <w:r>
        <w:rPr>
          <w:rFonts w:ascii="Arial" w:hAnsi="Arial" w:cs="Arial"/>
        </w:rPr>
        <w:t xml:space="preserve">Portanto, o CEUNSP assume papel estratégico no desenv</w:t>
      </w:r>
      <w:r>
        <w:rPr>
          <w:rFonts w:ascii="Arial" w:hAnsi="Arial" w:cs="Arial"/>
        </w:rPr>
        <w:t xml:space="preserve">olvimento regional, formando profissionais que, além de tecnicamente preparados, são capazes de liderar processos de mudança organizacional e social, atuando como agentes de transformação na Região Metropolitana de Sorocaba e em todo o estado de São Paulo.</w:t>
      </w:r>
      <w:r>
        <w:rPr>
          <w:rFonts w:ascii="Arial" w:hAnsi="Arial" w:cs="Arial"/>
        </w:rPr>
      </w:r>
      <w:r>
        <w:rPr>
          <w:rFonts w:ascii="Arial" w:hAnsi="Arial" w:cs="Arial"/>
        </w:rPr>
      </w:r>
    </w:p>
    <w:p>
      <w:pPr>
        <w:widowControl w:val="false"/>
        <w:pBdr/>
        <w:spacing w:line="360" w:lineRule="auto"/>
        <w:ind w:right="-1"/>
        <w:jc w:val="both"/>
        <w:rPr>
          <w:rFonts w:ascii="Arial" w:hAnsi="Arial" w:cs="Arial"/>
        </w:rPr>
      </w:pPr>
      <w:r>
        <w:rPr>
          <w:rFonts w:ascii="Arial" w:hAnsi="Arial" w:cs="Arial"/>
        </w:rPr>
      </w:r>
      <w:r>
        <w:rPr>
          <w:rFonts w:ascii="Arial" w:hAnsi="Arial" w:cs="Arial"/>
        </w:rPr>
      </w:r>
      <w:r>
        <w:rPr>
          <w:rFonts w:ascii="Arial" w:hAnsi="Arial" w:cs="Arial"/>
        </w:rPr>
      </w:r>
    </w:p>
    <w:p>
      <w:pPr>
        <w:widowControl w:val="false"/>
        <w:pBdr/>
        <w:spacing w:line="360" w:lineRule="auto"/>
        <w:ind w:right="-1"/>
        <w:jc w:val="both"/>
        <w:rPr>
          <w:rFonts w:ascii="Arial" w:hAnsi="Arial" w:cs="Arial"/>
        </w:rPr>
      </w:pPr>
      <w:r>
        <w:rPr>
          <w:rFonts w:ascii="Arial" w:hAnsi="Arial" w:cs="Arial"/>
        </w:rPr>
      </w:r>
      <w:r>
        <w:rPr>
          <w:rFonts w:ascii="Arial" w:hAnsi="Arial" w:cs="Arial"/>
        </w:rPr>
      </w:r>
      <w:r>
        <w:rPr>
          <w:rFonts w:ascii="Arial" w:hAnsi="Arial" w:cs="Arial"/>
        </w:rPr>
      </w:r>
    </w:p>
    <w:p>
      <w:pPr>
        <w:widowControl w:val="false"/>
        <w:pBdr/>
        <w:spacing w:line="360" w:lineRule="auto"/>
        <w:ind w:right="-1"/>
        <w:jc w:val="both"/>
        <w:rPr>
          <w:rFonts w:ascii="Arial" w:hAnsi="Arial" w:cs="Arial"/>
        </w:rPr>
      </w:pPr>
      <w:r>
        <w:rPr>
          <w:rFonts w:ascii="Arial" w:hAnsi="Arial" w:cs="Arial"/>
        </w:rPr>
      </w:r>
      <w:r>
        <w:rPr>
          <w:rFonts w:ascii="Arial" w:hAnsi="Arial" w:cs="Arial"/>
        </w:rPr>
      </w:r>
      <w:r>
        <w:rPr>
          <w:rFonts w:ascii="Arial" w:hAnsi="Arial" w:cs="Arial"/>
        </w:rPr>
      </w:r>
    </w:p>
    <w:p>
      <w:pPr>
        <w:widowControl w:val="false"/>
        <w:pBdr/>
        <w:spacing w:line="360" w:lineRule="auto"/>
        <w:ind w:right="-1"/>
        <w:jc w:val="both"/>
        <w:rPr>
          <w:rFonts w:ascii="Arial" w:hAnsi="Arial" w:cs="Arial"/>
        </w:rPr>
      </w:pPr>
      <w:r>
        <w:rPr>
          <w:rFonts w:ascii="Arial" w:hAnsi="Arial" w:cs="Arial"/>
        </w:rPr>
      </w:r>
      <w:r>
        <w:rPr>
          <w:rFonts w:ascii="Arial" w:hAnsi="Arial" w:cs="Arial"/>
        </w:rPr>
      </w:r>
      <w:r>
        <w:rPr>
          <w:rFonts w:ascii="Arial" w:hAnsi="Arial" w:cs="Arial"/>
        </w:rPr>
      </w:r>
    </w:p>
    <w:p>
      <w:pPr>
        <w:pBdr/>
        <w:spacing w:after="120" w:line="360" w:lineRule="auto"/>
        <w:ind/>
        <w:jc w:val="both"/>
        <w:rPr>
          <w:rFonts w:ascii="Arial" w:hAnsi="Arial" w:cs="Arial"/>
          <w:color w:val="000000" w:themeColor="text1"/>
          <w:sz w:val="24"/>
          <w:szCs w:val="24"/>
        </w:rPr>
      </w:pPr>
      <w:r>
        <w:rPr>
          <w:rFonts w:ascii="Arial" w:hAnsi="Arial" w:cs="Arial"/>
          <w:b/>
          <w:bCs/>
          <w:color w:val="000000" w:themeColor="text1"/>
          <w:sz w:val="24"/>
          <w:szCs w:val="24"/>
        </w:rPr>
        <w:t xml:space="preserve">Referências</w:t>
      </w:r>
      <w:r>
        <w:rPr>
          <w:rFonts w:ascii="Arial" w:hAnsi="Arial" w:cs="Arial"/>
          <w:color w:val="000000" w:themeColor="text1"/>
          <w:sz w:val="24"/>
          <w:szCs w:val="24"/>
        </w:rPr>
        <w:t xml:space="preserve">:</w:t>
      </w:r>
      <w:r>
        <w:rPr>
          <w:rFonts w:ascii="Arial" w:hAnsi="Arial" w:cs="Arial"/>
          <w:color w:val="000000" w:themeColor="text1"/>
          <w:sz w:val="24"/>
          <w:szCs w:val="24"/>
        </w:rPr>
      </w:r>
      <w:r>
        <w:rPr>
          <w:rFonts w:ascii="Arial" w:hAnsi="Arial" w:cs="Arial"/>
          <w:color w:val="000000" w:themeColor="text1"/>
          <w:sz w:val="24"/>
          <w:szCs w:val="24"/>
        </w:rPr>
      </w:r>
    </w:p>
    <w:p>
      <w:pPr>
        <w:pBdr/>
        <w:spacing w:after="120" w:line="240" w:lineRule="auto"/>
        <w:ind w:left="360"/>
        <w:jc w:val="both"/>
        <w:rPr>
          <w:rFonts w:ascii="Arial" w:hAnsi="Arial" w:cs="Arial"/>
          <w:color w:val="000000" w:themeColor="text1"/>
          <w:sz w:val="20"/>
          <w:szCs w:val="20"/>
        </w:rPr>
      </w:pPr>
      <w:r>
        <w:rPr>
          <w:rFonts w:ascii="Arial" w:hAnsi="Arial" w:cs="Arial"/>
          <w:color w:val="000000" w:themeColor="text1"/>
          <w:sz w:val="20"/>
          <w:szCs w:val="20"/>
        </w:rPr>
        <w:t xml:space="preserve">IBGE. </w:t>
      </w:r>
      <w:r>
        <w:rPr>
          <w:rFonts w:ascii="Arial" w:hAnsi="Arial" w:cs="Arial"/>
          <w:i/>
          <w:iCs/>
          <w:color w:val="000000" w:themeColor="text1"/>
          <w:sz w:val="20"/>
          <w:szCs w:val="20"/>
        </w:rPr>
        <w:t xml:space="preserve">Indicadores Econômicos e Demográficos dos Municípios Brasileiros</w:t>
      </w:r>
      <w:r>
        <w:rPr>
          <w:rFonts w:ascii="Arial" w:hAnsi="Arial" w:cs="Arial"/>
          <w:color w:val="000000" w:themeColor="text1"/>
          <w:sz w:val="20"/>
          <w:szCs w:val="20"/>
        </w:rPr>
        <w:t xml:space="preserve">, 2024. Disponível em: </w:t>
      </w:r>
      <w:hyperlink r:id="rId23" w:tooltip="https://www.ibge.gov.br" w:history="1">
        <w:r>
          <w:rPr>
            <w:rStyle w:val="967"/>
            <w:rFonts w:ascii="Arial" w:hAnsi="Arial" w:cs="Arial"/>
            <w:sz w:val="20"/>
            <w:szCs w:val="20"/>
          </w:rPr>
          <w:t xml:space="preserve">https://www.ibge.gov.br</w:t>
        </w:r>
      </w:hyperlink>
      <w:r>
        <w:rPr>
          <w:rFonts w:ascii="Arial" w:hAnsi="Arial" w:cs="Arial"/>
          <w:color w:val="000000" w:themeColor="text1"/>
          <w:sz w:val="20"/>
          <w:szCs w:val="20"/>
        </w:rPr>
      </w:r>
      <w:r>
        <w:rPr>
          <w:rFonts w:ascii="Arial" w:hAnsi="Arial" w:cs="Arial"/>
          <w:color w:val="000000" w:themeColor="text1"/>
          <w:sz w:val="20"/>
          <w:szCs w:val="20"/>
        </w:rPr>
      </w:r>
    </w:p>
    <w:p>
      <w:pPr>
        <w:pBdr/>
        <w:spacing w:after="120" w:line="240" w:lineRule="auto"/>
        <w:ind w:left="360"/>
        <w:jc w:val="both"/>
        <w:rPr>
          <w:rFonts w:ascii="Arial" w:hAnsi="Arial" w:cs="Arial"/>
          <w:color w:val="000000" w:themeColor="text1"/>
          <w:sz w:val="20"/>
          <w:szCs w:val="20"/>
        </w:rPr>
      </w:pPr>
      <w:r>
        <w:rPr>
          <w:rFonts w:ascii="Arial" w:hAnsi="Arial" w:cs="Arial"/>
          <w:color w:val="000000" w:themeColor="text1"/>
          <w:sz w:val="20"/>
          <w:szCs w:val="20"/>
        </w:rPr>
        <w:t xml:space="preserve">SEADE. </w:t>
      </w:r>
      <w:r>
        <w:rPr>
          <w:rFonts w:ascii="Arial" w:hAnsi="Arial" w:cs="Arial"/>
          <w:i/>
          <w:iCs/>
          <w:color w:val="000000" w:themeColor="text1"/>
          <w:sz w:val="20"/>
          <w:szCs w:val="20"/>
        </w:rPr>
        <w:t xml:space="preserve">Produto Interno Bruto dos Municípios Paulistas</w:t>
      </w:r>
      <w:r>
        <w:rPr>
          <w:rFonts w:ascii="Arial" w:hAnsi="Arial" w:cs="Arial"/>
          <w:color w:val="000000" w:themeColor="text1"/>
          <w:sz w:val="20"/>
          <w:szCs w:val="20"/>
        </w:rPr>
        <w:t xml:space="preserve">. Fundação Sistema Estadual de Análise de Dados, 2024.</w:t>
      </w:r>
      <w:r>
        <w:rPr>
          <w:rFonts w:ascii="Arial" w:hAnsi="Arial" w:cs="Arial"/>
          <w:color w:val="000000" w:themeColor="text1"/>
          <w:sz w:val="20"/>
          <w:szCs w:val="20"/>
        </w:rPr>
      </w:r>
      <w:r>
        <w:rPr>
          <w:rFonts w:ascii="Arial" w:hAnsi="Arial" w:cs="Arial"/>
          <w:color w:val="000000" w:themeColor="text1"/>
          <w:sz w:val="20"/>
          <w:szCs w:val="20"/>
        </w:rPr>
      </w:r>
    </w:p>
    <w:p>
      <w:pPr>
        <w:pBdr/>
        <w:spacing w:after="120" w:line="240" w:lineRule="auto"/>
        <w:ind w:left="360"/>
        <w:jc w:val="both"/>
        <w:rPr>
          <w:rFonts w:ascii="Arial" w:hAnsi="Arial" w:cs="Arial"/>
          <w:color w:val="000000" w:themeColor="text1"/>
          <w:sz w:val="20"/>
          <w:szCs w:val="20"/>
        </w:rPr>
      </w:pPr>
      <w:r>
        <w:rPr>
          <w:rFonts w:ascii="Arial" w:hAnsi="Arial" w:cs="Arial"/>
          <w:color w:val="000000" w:themeColor="text1"/>
          <w:sz w:val="20"/>
          <w:szCs w:val="20"/>
        </w:rPr>
        <w:t xml:space="preserve">CEUNSP. </w:t>
      </w:r>
      <w:r>
        <w:rPr>
          <w:rFonts w:ascii="Arial" w:hAnsi="Arial" w:cs="Arial"/>
          <w:i/>
          <w:iCs/>
          <w:color w:val="000000" w:themeColor="text1"/>
          <w:sz w:val="20"/>
          <w:szCs w:val="20"/>
        </w:rPr>
        <w:t xml:space="preserve">Estudo de Vagas do Curso Superior de Tecnologia em Gestão da Qualidade</w:t>
      </w:r>
      <w:r>
        <w:rPr>
          <w:rFonts w:ascii="Arial" w:hAnsi="Arial" w:cs="Arial"/>
          <w:color w:val="000000" w:themeColor="text1"/>
          <w:sz w:val="20"/>
          <w:szCs w:val="20"/>
        </w:rPr>
        <w:t xml:space="preserve">. Itu: Centro Universitário Nossa Senhora do Patrocínio, 2025.</w:t>
      </w:r>
      <w:r>
        <w:rPr>
          <w:rFonts w:ascii="Arial" w:hAnsi="Arial" w:cs="Arial"/>
          <w:color w:val="000000" w:themeColor="text1"/>
          <w:sz w:val="20"/>
          <w:szCs w:val="20"/>
        </w:rPr>
      </w:r>
      <w:r>
        <w:rPr>
          <w:rFonts w:ascii="Arial" w:hAnsi="Arial" w:cs="Arial"/>
          <w:color w:val="000000" w:themeColor="text1"/>
          <w:sz w:val="20"/>
          <w:szCs w:val="20"/>
        </w:rPr>
      </w:r>
    </w:p>
    <w:p>
      <w:pPr>
        <w:pBdr/>
        <w:spacing w:after="120" w:line="240" w:lineRule="auto"/>
        <w:ind w:left="360"/>
        <w:jc w:val="both"/>
        <w:rPr>
          <w:rFonts w:ascii="Arial" w:hAnsi="Arial" w:cs="Arial"/>
          <w:color w:val="000000" w:themeColor="text1"/>
          <w:sz w:val="20"/>
          <w:szCs w:val="20"/>
        </w:rPr>
      </w:pPr>
      <w:r>
        <w:rPr>
          <w:rFonts w:ascii="Arial" w:hAnsi="Arial" w:cs="Arial"/>
          <w:color w:val="000000" w:themeColor="text1"/>
          <w:sz w:val="20"/>
          <w:szCs w:val="20"/>
        </w:rPr>
        <w:t xml:space="preserve">MEC. </w:t>
      </w:r>
      <w:r>
        <w:rPr>
          <w:rFonts w:ascii="Arial" w:hAnsi="Arial" w:cs="Arial"/>
          <w:i/>
          <w:iCs/>
          <w:color w:val="000000" w:themeColor="text1"/>
          <w:sz w:val="20"/>
          <w:szCs w:val="20"/>
        </w:rPr>
        <w:t xml:space="preserve">Catálogo Nacional de Cursos Superiores de Tecnologia</w:t>
      </w:r>
      <w:r>
        <w:rPr>
          <w:rFonts w:ascii="Arial" w:hAnsi="Arial" w:cs="Arial"/>
          <w:color w:val="000000" w:themeColor="text1"/>
          <w:sz w:val="20"/>
          <w:szCs w:val="20"/>
        </w:rPr>
        <w:t xml:space="preserve">, Portaria nº 514, de 4 de junho de 2024.</w:t>
      </w:r>
      <w:r>
        <w:rPr>
          <w:rFonts w:ascii="Arial" w:hAnsi="Arial" w:cs="Arial"/>
          <w:color w:val="000000" w:themeColor="text1"/>
          <w:sz w:val="20"/>
          <w:szCs w:val="20"/>
        </w:rPr>
      </w:r>
      <w:r>
        <w:rPr>
          <w:rFonts w:ascii="Arial" w:hAnsi="Arial" w:cs="Arial"/>
          <w:color w:val="000000" w:themeColor="text1"/>
          <w:sz w:val="20"/>
          <w:szCs w:val="20"/>
        </w:rPr>
      </w:r>
    </w:p>
    <w:p>
      <w:pPr>
        <w:pBdr/>
        <w:spacing w:after="120" w:line="240" w:lineRule="auto"/>
        <w:ind w:left="360"/>
        <w:jc w:val="both"/>
        <w:rPr>
          <w:rFonts w:ascii="Arial" w:hAnsi="Arial" w:cs="Arial"/>
          <w:color w:val="000000" w:themeColor="text1"/>
          <w:sz w:val="20"/>
          <w:szCs w:val="20"/>
        </w:rPr>
      </w:pPr>
      <w:r>
        <w:rPr>
          <w:rFonts w:ascii="Arial" w:hAnsi="Arial" w:cs="Arial"/>
          <w:color w:val="000000" w:themeColor="text1"/>
          <w:sz w:val="20"/>
          <w:szCs w:val="20"/>
        </w:rPr>
        <w:t xml:space="preserve">Fundação Nacional da Qualidade. </w:t>
      </w:r>
      <w:r>
        <w:rPr>
          <w:rFonts w:ascii="Arial" w:hAnsi="Arial" w:cs="Arial"/>
          <w:i/>
          <w:iCs/>
          <w:color w:val="000000" w:themeColor="text1"/>
          <w:sz w:val="20"/>
          <w:szCs w:val="20"/>
        </w:rPr>
        <w:t xml:space="preserve">Modelo de Excelência da Gestão (MEG)</w:t>
      </w:r>
      <w:r>
        <w:rPr>
          <w:rFonts w:ascii="Arial" w:hAnsi="Arial" w:cs="Arial"/>
          <w:color w:val="000000" w:themeColor="text1"/>
          <w:sz w:val="20"/>
          <w:szCs w:val="20"/>
        </w:rPr>
        <w:t xml:space="preserve">, 2016.</w:t>
      </w:r>
      <w:r>
        <w:rPr>
          <w:rFonts w:ascii="Arial" w:hAnsi="Arial" w:cs="Arial"/>
          <w:color w:val="000000" w:themeColor="text1"/>
          <w:sz w:val="20"/>
          <w:szCs w:val="20"/>
        </w:rPr>
      </w:r>
      <w:r>
        <w:rPr>
          <w:rFonts w:ascii="Arial" w:hAnsi="Arial" w:cs="Arial"/>
          <w:color w:val="000000" w:themeColor="text1"/>
          <w:sz w:val="20"/>
          <w:szCs w:val="20"/>
        </w:rPr>
      </w:r>
    </w:p>
    <w:p>
      <w:pPr>
        <w:pBdr/>
        <w:spacing w:after="120" w:line="240" w:lineRule="auto"/>
        <w:ind w:left="360"/>
        <w:jc w:val="both"/>
        <w:rPr>
          <w:rFonts w:ascii="Arial" w:hAnsi="Arial" w:cs="Arial"/>
          <w:color w:val="000000" w:themeColor="text1"/>
          <w:sz w:val="20"/>
          <w:szCs w:val="20"/>
        </w:rPr>
      </w:pPr>
      <w:r>
        <w:rPr>
          <w:rFonts w:ascii="Arial" w:hAnsi="Arial" w:cs="Arial"/>
          <w:color w:val="000000" w:themeColor="text1"/>
          <w:sz w:val="20"/>
          <w:szCs w:val="20"/>
        </w:rPr>
        <w:t xml:space="preserve">ECONODATA. </w:t>
      </w:r>
      <w:r>
        <w:rPr>
          <w:rFonts w:ascii="Arial" w:hAnsi="Arial" w:cs="Arial"/>
          <w:i/>
          <w:iCs/>
          <w:color w:val="000000" w:themeColor="text1"/>
          <w:sz w:val="20"/>
          <w:szCs w:val="20"/>
        </w:rPr>
        <w:t xml:space="preserve">Consulta Empresarial e Classificação Setorial</w:t>
      </w:r>
      <w:r>
        <w:rPr>
          <w:rFonts w:ascii="Arial" w:hAnsi="Arial" w:cs="Arial"/>
          <w:color w:val="000000" w:themeColor="text1"/>
          <w:sz w:val="20"/>
          <w:szCs w:val="20"/>
        </w:rPr>
        <w:t xml:space="preserve">, 2025. Disponível em: </w:t>
      </w:r>
      <w:hyperlink r:id="rId24" w:tooltip="https://www.econodata.com.br" w:history="1">
        <w:r>
          <w:rPr>
            <w:rStyle w:val="967"/>
            <w:rFonts w:ascii="Arial" w:hAnsi="Arial" w:cs="Arial"/>
            <w:sz w:val="20"/>
            <w:szCs w:val="20"/>
          </w:rPr>
          <w:t xml:space="preserve">https://www.econodata.com.br</w:t>
        </w:r>
      </w:hyperlink>
      <w:r>
        <w:rPr>
          <w:rFonts w:ascii="Arial" w:hAnsi="Arial" w:cs="Arial"/>
          <w:color w:val="000000" w:themeColor="text1"/>
          <w:sz w:val="20"/>
          <w:szCs w:val="20"/>
        </w:rPr>
      </w:r>
      <w:r>
        <w:rPr>
          <w:rFonts w:ascii="Arial" w:hAnsi="Arial" w:cs="Arial"/>
          <w:color w:val="000000" w:themeColor="text1"/>
          <w:sz w:val="20"/>
          <w:szCs w:val="20"/>
        </w:rPr>
      </w:r>
    </w:p>
    <w:p>
      <w:pPr>
        <w:pBdr/>
        <w:spacing w:after="120" w:line="240" w:lineRule="auto"/>
        <w:ind w:left="360"/>
        <w:jc w:val="both"/>
        <w:rPr>
          <w:rFonts w:ascii="Arial" w:hAnsi="Arial" w:cs="Arial"/>
          <w:color w:val="000000" w:themeColor="text1"/>
          <w:sz w:val="20"/>
          <w:szCs w:val="20"/>
        </w:rPr>
      </w:pPr>
      <w:r>
        <w:rPr>
          <w:rFonts w:ascii="Arial" w:hAnsi="Arial" w:cs="Arial"/>
          <w:color w:val="000000" w:themeColor="text1"/>
          <w:sz w:val="20"/>
          <w:szCs w:val="20"/>
        </w:rPr>
        <w:t xml:space="preserve">CARAVELA Dados. </w:t>
      </w:r>
      <w:r>
        <w:rPr>
          <w:rFonts w:ascii="Arial" w:hAnsi="Arial" w:cs="Arial"/>
          <w:i/>
          <w:iCs/>
          <w:color w:val="000000" w:themeColor="text1"/>
          <w:sz w:val="20"/>
          <w:szCs w:val="20"/>
        </w:rPr>
        <w:t xml:space="preserve">Perfil Econômico e Demográfico de </w:t>
      </w:r>
      <w:r>
        <w:rPr>
          <w:rFonts w:ascii="Arial" w:hAnsi="Arial" w:cs="Arial"/>
          <w:i/>
          <w:iCs/>
          <w:color w:val="000000" w:themeColor="text1"/>
          <w:sz w:val="20"/>
          <w:szCs w:val="20"/>
        </w:rPr>
        <w:t xml:space="preserve">Itu-SP</w:t>
      </w:r>
      <w:r>
        <w:rPr>
          <w:rFonts w:ascii="Arial" w:hAnsi="Arial" w:cs="Arial"/>
          <w:color w:val="000000" w:themeColor="text1"/>
          <w:sz w:val="20"/>
          <w:szCs w:val="20"/>
        </w:rPr>
        <w:t xml:space="preserve">, 2025. Disponível em: </w:t>
      </w:r>
      <w:hyperlink r:id="rId25" w:tooltip="https://www.caravela.info" w:history="1">
        <w:r>
          <w:rPr>
            <w:rStyle w:val="967"/>
            <w:rFonts w:ascii="Arial" w:hAnsi="Arial" w:cs="Arial"/>
            <w:sz w:val="20"/>
            <w:szCs w:val="20"/>
          </w:rPr>
          <w:t xml:space="preserve">https://www.caravela.info</w:t>
        </w:r>
      </w:hyperlink>
      <w:r>
        <w:rPr>
          <w:rFonts w:ascii="Arial" w:hAnsi="Arial" w:cs="Arial"/>
          <w:color w:val="000000" w:themeColor="text1"/>
          <w:sz w:val="20"/>
          <w:szCs w:val="20"/>
        </w:rPr>
      </w:r>
      <w:r>
        <w:rPr>
          <w:rFonts w:ascii="Arial" w:hAnsi="Arial" w:cs="Arial"/>
          <w:color w:val="000000" w:themeColor="text1"/>
          <w:sz w:val="20"/>
          <w:szCs w:val="20"/>
        </w:rPr>
      </w:r>
    </w:p>
    <w:p>
      <w:pPr>
        <w:pBdr/>
        <w:spacing w:after="120" w:line="360" w:lineRule="auto"/>
        <w:ind/>
        <w:jc w:val="both"/>
        <w:rPr>
          <w:rFonts w:ascii="Arial" w:hAnsi="Arial" w:cs="Arial"/>
          <w:color w:val="000000" w:themeColor="text1"/>
          <w:sz w:val="20"/>
          <w:szCs w:val="20"/>
        </w:rPr>
      </w:pPr>
      <w:r>
        <w:rPr>
          <w:rFonts w:ascii="Arial" w:hAnsi="Arial" w:cs="Arial"/>
          <w:color w:val="000000" w:themeColor="text1"/>
          <w:sz w:val="20"/>
          <w:szCs w:val="20"/>
        </w:rPr>
      </w:r>
      <w:r>
        <w:rPr>
          <w:rFonts w:ascii="Arial" w:hAnsi="Arial" w:cs="Arial"/>
          <w:color w:val="000000" w:themeColor="text1"/>
          <w:sz w:val="20"/>
          <w:szCs w:val="20"/>
        </w:rPr>
      </w:r>
      <w:r>
        <w:rPr>
          <w:rFonts w:ascii="Arial" w:hAnsi="Arial" w:cs="Arial"/>
          <w:color w:val="000000" w:themeColor="text1"/>
          <w:sz w:val="20"/>
          <w:szCs w:val="20"/>
        </w:rPr>
      </w:r>
    </w:p>
    <w:p>
      <w:pPr>
        <w:widowControl w:val="false"/>
        <w:pBdr/>
        <w:spacing w:line="360" w:lineRule="auto"/>
        <w:ind w:right="-1"/>
        <w:jc w:val="both"/>
        <w:rPr>
          <w:rFonts w:ascii="Arial" w:hAnsi="Arial" w:cs="Arial"/>
          <w:color w:val="000000" w:themeColor="text1"/>
          <w:sz w:val="20"/>
          <w:szCs w:val="20"/>
        </w:rPr>
      </w:pPr>
      <w:r>
        <w:rPr>
          <w:rFonts w:ascii="Arial" w:hAnsi="Arial" w:cs="Arial"/>
          <w:color w:val="000000" w:themeColor="text1"/>
          <w:sz w:val="20"/>
          <w:szCs w:val="20"/>
        </w:rPr>
      </w:r>
      <w:r>
        <w:rPr>
          <w:rFonts w:ascii="Arial" w:hAnsi="Arial" w:cs="Arial"/>
          <w:color w:val="000000" w:themeColor="text1"/>
          <w:sz w:val="20"/>
          <w:szCs w:val="20"/>
        </w:rPr>
      </w:r>
      <w:r>
        <w:rPr>
          <w:rFonts w:ascii="Arial" w:hAnsi="Arial" w:cs="Arial"/>
          <w:color w:val="000000" w:themeColor="text1"/>
          <w:sz w:val="20"/>
          <w:szCs w:val="20"/>
        </w:rPr>
      </w:r>
    </w:p>
    <w:p>
      <w:pPr>
        <w:pBdr/>
        <w:tabs>
          <w:tab w:val="left" w:leader="none" w:pos="1427"/>
        </w:tabs>
        <w:spacing/>
        <w:ind/>
        <w:rPr>
          <w:rFonts w:ascii="Arial" w:hAnsi="Arial" w:cs="Arial"/>
          <w:color w:val="000000" w:themeColor="text1"/>
        </w:rPr>
      </w:pPr>
      <w:r>
        <w:rPr>
          <w:rFonts w:ascii="Arial" w:hAnsi="Arial" w:cs="Arial"/>
          <w:color w:val="000000" w:themeColor="text1"/>
        </w:rPr>
      </w:r>
      <w:r>
        <w:rPr>
          <w:rFonts w:ascii="Arial" w:hAnsi="Arial" w:cs="Arial"/>
          <w:color w:val="000000" w:themeColor="text1"/>
        </w:rPr>
      </w:r>
      <w:r>
        <w:rPr>
          <w:rFonts w:ascii="Arial" w:hAnsi="Arial" w:cs="Arial"/>
          <w:color w:val="000000" w:themeColor="text1"/>
        </w:rPr>
      </w:r>
    </w:p>
    <w:p>
      <w:pPr>
        <w:pBdr/>
        <w:spacing/>
        <w:ind/>
        <w:rPr>
          <w:rFonts w:ascii="Arial" w:hAnsi="Arial" w:cs="Arial"/>
        </w:rPr>
      </w:pPr>
      <w:r>
        <w:rPr>
          <w:rFonts w:ascii="Arial" w:hAnsi="Arial" w:cs="Arial"/>
        </w:rPr>
        <w:br w:type="page" w:clear="all"/>
      </w:r>
      <w:r>
        <w:rPr>
          <w:rFonts w:ascii="Arial" w:hAnsi="Arial" w:cs="Arial"/>
        </w:rPr>
        <mc:AlternateContent>
          <mc:Choice Requires="wpg">
            <w:drawing>
              <wp:anchor xmlns:wp="http://schemas.openxmlformats.org/drawingml/2006/wordprocessingDrawing" xmlns:wp14="http://schemas.microsoft.com/office/word/2010/wordprocessingDrawing" distT="0" distB="0" distL="114300" distR="114300" simplePos="0" relativeHeight="251658240" behindDoc="1" locked="0" layoutInCell="1" allowOverlap="1">
                <wp:simplePos x="0" y="0"/>
                <wp:positionH relativeFrom="page">
                  <wp:posOffset>0</wp:posOffset>
                </wp:positionH>
                <wp:positionV relativeFrom="paragraph">
                  <wp:posOffset>-869950</wp:posOffset>
                </wp:positionV>
                <wp:extent cx="7655560" cy="10690860"/>
                <wp:effectExtent l="0" t="0" r="0" b="0"/>
                <wp:wrapNone/>
                <wp:docPr id="7"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0"/>
                        <pic:cNvPicPr>
                          <a:picLocks noChangeAspect="1"/>
                        </pic:cNvPicPr>
                        <pic:nvPr/>
                      </pic:nvPicPr>
                      <pic:blipFill rotWithShape="1">
                        <a:blip r:embed="rId26"/>
                        <a:stretch/>
                      </pic:blipFill>
                      <pic:spPr bwMode="auto">
                        <a:xfrm>
                          <a:off x="0" y="0"/>
                          <a:ext cx="7655560" cy="10690859"/>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58240;o:allowoverlap:true;o:allowincell:true;mso-position-horizontal-relative:page;margin-left:0.00pt;mso-position-horizontal:absolute;mso-position-vertical-relative:text;margin-top:-68.50pt;mso-position-vertical:absolute;width:602.80pt;height:841.80pt;mso-wrap-distance-left:9.00pt;mso-wrap-distance-top:0.00pt;mso-wrap-distance-right:9.00pt;mso-wrap-distance-bottom:0.00pt;z-index:1;" stroked="f">
                <v:imagedata r:id="rId26" o:title=""/>
                <o:lock v:ext="edit" rotation="t"/>
              </v:shape>
            </w:pict>
          </mc:Fallback>
        </mc:AlternateContent>
      </w:r>
      <w:r>
        <w:rPr>
          <w:rFonts w:ascii="Arial" w:hAnsi="Arial" w:cs="Arial"/>
        </w:rPr>
      </w:r>
      <w:r>
        <w:rPr>
          <w:rFonts w:ascii="Arial" w:hAnsi="Arial" w:cs="Arial"/>
        </w:rPr>
      </w:r>
    </w:p>
    <w:sectPr>
      <w:footnotePr/>
      <w:endnotePr/>
      <w:type w:val="nextPage"/>
      <w:pgSz w:h="16838" w:orient="portrait" w:w="11906"/>
      <w:pgMar w:top="1417" w:right="1701" w:bottom="1417" w:left="1701" w:header="708" w:footer="708" w:gutter="0"/>
      <w:cols w:num="1" w:sep="0" w:space="708"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separator/>
      </w:r>
      <w:r/>
    </w:p>
  </w:endnote>
  <w:endnote w:type="continuationSeparator" w:id="0">
    <w:p>
      <w:pPr>
        <w:pBdr/>
        <w:spacing w:after="0" w:line="240" w:lineRule="auto"/>
        <w:ind/>
        <w:rPr/>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Verdana">
    <w:panose1 w:val="020B0604030504040204"/>
  </w:font>
  <w:font w:name="Wingdings">
    <w:panose1 w:val="05000000000000000000"/>
  </w:font>
  <w:font w:name="Courier New">
    <w:panose1 w:val="02070309020205020404"/>
  </w:font>
  <w:font w:name="Symbol">
    <w:panose1 w:val="05050102010706020507"/>
  </w:font>
  <w:font w:name="Univers">
    <w:panose1 w:val="05040102010807070707"/>
  </w:font>
  <w:font w:name="Calibri Light">
    <w:panose1 w:val="020F0302020204030204"/>
  </w:font>
  <w:font w:name="Arial">
    <w:panose1 w:val="020B0604020202020204"/>
  </w:font>
  <w:font w:name="Times New Roman">
    <w:panose1 w:val="02020603050405020304"/>
  </w:font>
  <w:font w:name="Calibri">
    <w:panose1 w:val="020F050202020403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separator/>
      </w:r>
      <w:r/>
    </w:p>
  </w:footnote>
  <w:footnote w:type="continuationSeparator" w:id="0">
    <w:p>
      <w:pPr>
        <w:pBdr/>
        <w:spacing w:after="0" w:line="240" w:lineRule="auto"/>
        <w:ind/>
        <w:rPr/>
      </w:pPr>
      <w:r>
        <w:continuationSeparator/>
      </w:r>
      <w:r/>
    </w:p>
  </w:footnote>
  <w:footnote w:id="2">
    <w:p>
      <w:pPr>
        <w:pStyle w:val="969"/>
        <w:pBdr/>
        <w:spacing/>
        <w:ind/>
        <w:rPr>
          <w:rFonts w:ascii="Arial" w:hAnsi="Arial" w:cs="Arial"/>
        </w:rPr>
      </w:pPr>
      <w:r>
        <w:rPr>
          <w:rStyle w:val="971"/>
        </w:rPr>
        <w:footnoteRef/>
      </w:r>
      <w:r>
        <w:t xml:space="preserve"> </w:t>
      </w:r>
      <w:hyperlink r:id="rId1" w:tooltip="https://sp.gov.br/sp/canais-comunicacao/noticias/pib+paulista+cresce+3+em+2024" w:history="1">
        <w:r>
          <w:rPr>
            <w:rStyle w:val="967"/>
            <w:rFonts w:ascii="Arial" w:hAnsi="Arial" w:cs="Arial"/>
          </w:rPr>
          <w:t xml:space="preserve">https://sp.gov.br/sp/canais-comunicacao/noticias/pib+paulista+cresce+3+em+2024</w:t>
        </w:r>
      </w:hyperlink>
      <w:r>
        <w:rPr>
          <w:rFonts w:ascii="Arial" w:hAnsi="Arial" w:cs="Arial"/>
        </w:rPr>
      </w:r>
      <w:r>
        <w:rPr>
          <w:rFonts w:ascii="Arial" w:hAnsi="Arial" w:cs="Arial"/>
        </w:rPr>
      </w:r>
    </w:p>
  </w:footnote>
  <w:footnote w:id="3">
    <w:p>
      <w:pPr>
        <w:pStyle w:val="969"/>
        <w:pBdr/>
        <w:spacing/>
        <w:ind/>
        <w:rPr/>
      </w:pPr>
      <w:r>
        <w:rPr>
          <w:rStyle w:val="971"/>
        </w:rPr>
        <w:footnoteRef/>
      </w:r>
      <w:r>
        <w:t xml:space="preserve"> </w:t>
      </w:r>
      <w:hyperlink r:id="rId2" w:tooltip="https://www.desenvolvesp.com.br/mapadaeconomiapaulista/ra/sorocaba/" w:history="1">
        <w:r>
          <w:rPr>
            <w:rStyle w:val="967"/>
            <w:rFonts w:ascii="Arial" w:hAnsi="Arial" w:cs="Arial"/>
          </w:rPr>
          <w:t xml:space="preserve">https://www.desenvolvesp.com.br/mapadaeconomiapaulista/ra/sorocaba/</w:t>
        </w:r>
      </w:hyperlink>
      <w:r>
        <w:rPr>
          <w:rFonts w:ascii="Verdana" w:hAnsi="Verdana"/>
          <w:sz w:val="16"/>
          <w:szCs w:val="16"/>
        </w:rPr>
        <w:t xml:space="preserve"> </w:t>
      </w: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50801"/>
    <w:lvl w:ilvl="0">
      <w:isLgl w:val="false"/>
      <w:lvlJc w:val="left"/>
      <w:lvlText w:val="%1."/>
      <w:numFmt w:val="decimal"/>
      <w:pPr>
        <w:pBdr/>
        <w:spacing/>
        <w:ind w:hanging="360" w:left="720"/>
      </w:pPr>
      <w:rPr/>
      <w:start w:val="1"/>
      <w:suff w:val="tab"/>
    </w:lvl>
    <w:lvl w:ilvl="1">
      <w:isLgl w:val="true"/>
      <w:lvlJc w:val="left"/>
      <w:lvlText w:val="%1.%2."/>
      <w:numFmt w:val="decimal"/>
      <w:pPr>
        <w:pBdr/>
        <w:spacing/>
        <w:ind w:hanging="720" w:left="1080"/>
      </w:pPr>
      <w:rPr>
        <w:rFonts w:hint="default"/>
        <w:b/>
        <w:bCs/>
        <w:sz w:val="22"/>
        <w:szCs w:val="22"/>
      </w:rPr>
      <w:start w:val="1"/>
      <w:suff w:val="tab"/>
    </w:lvl>
    <w:lvl w:ilvl="2">
      <w:isLgl w:val="true"/>
      <w:lvlJc w:val="left"/>
      <w:lvlText w:val="%1.%2.%3."/>
      <w:numFmt w:val="decimal"/>
      <w:pPr>
        <w:pBdr/>
        <w:spacing/>
        <w:ind w:hanging="720" w:left="1080"/>
      </w:pPr>
      <w:rPr>
        <w:rFonts w:hint="default"/>
      </w:rPr>
      <w:start w:val="1"/>
      <w:suff w:val="tab"/>
    </w:lvl>
    <w:lvl w:ilvl="3">
      <w:isLgl w:val="true"/>
      <w:lvlJc w:val="left"/>
      <w:lvlText w:val="%1.%2.%3.%4."/>
      <w:numFmt w:val="decimal"/>
      <w:pPr>
        <w:pBdr/>
        <w:spacing/>
        <w:ind w:hanging="1080" w:left="1440"/>
      </w:pPr>
      <w:rPr>
        <w:rFonts w:hint="default"/>
      </w:rPr>
      <w:start w:val="1"/>
      <w:suff w:val="tab"/>
    </w:lvl>
    <w:lvl w:ilvl="4">
      <w:isLgl w:val="true"/>
      <w:lvlJc w:val="left"/>
      <w:lvlText w:val="%1.%2.%3.%4.%5."/>
      <w:numFmt w:val="decimal"/>
      <w:pPr>
        <w:pBdr/>
        <w:spacing/>
        <w:ind w:hanging="1080" w:left="1440"/>
      </w:pPr>
      <w:rPr>
        <w:rFonts w:hint="default"/>
      </w:rPr>
      <w:start w:val="1"/>
      <w:suff w:val="tab"/>
    </w:lvl>
    <w:lvl w:ilvl="5">
      <w:isLgl w:val="true"/>
      <w:lvlJc w:val="left"/>
      <w:lvlText w:val="%1.%2.%3.%4.%5.%6."/>
      <w:numFmt w:val="decimal"/>
      <w:pPr>
        <w:pBdr/>
        <w:spacing/>
        <w:ind w:hanging="1440" w:left="1800"/>
      </w:pPr>
      <w:rPr>
        <w:rFonts w:hint="default"/>
      </w:rPr>
      <w:start w:val="1"/>
      <w:suff w:val="tab"/>
    </w:lvl>
    <w:lvl w:ilvl="6">
      <w:isLgl w:val="true"/>
      <w:lvlJc w:val="left"/>
      <w:lvlText w:val="%1.%2.%3.%4.%5.%6.%7."/>
      <w:numFmt w:val="decimal"/>
      <w:pPr>
        <w:pBdr/>
        <w:spacing/>
        <w:ind w:hanging="1440" w:left="1800"/>
      </w:pPr>
      <w:rPr>
        <w:rFonts w:hint="default"/>
      </w:rPr>
      <w:start w:val="1"/>
      <w:suff w:val="tab"/>
    </w:lvl>
    <w:lvl w:ilvl="7">
      <w:isLgl w:val="true"/>
      <w:lvlJc w:val="left"/>
      <w:lvlText w:val="%1.%2.%3.%4.%5.%6.%7.%8."/>
      <w:numFmt w:val="decimal"/>
      <w:pPr>
        <w:pBdr/>
        <w:spacing/>
        <w:ind w:hanging="1800" w:left="2160"/>
      </w:pPr>
      <w:rPr>
        <w:rFonts w:hint="default"/>
      </w:rPr>
      <w:start w:val="1"/>
      <w:suff w:val="tab"/>
    </w:lvl>
    <w:lvl w:ilvl="8">
      <w:isLgl w:val="true"/>
      <w:lvlJc w:val="left"/>
      <w:lvlText w:val="%1.%2.%3.%4.%5.%6.%7.%8.%9."/>
      <w:numFmt w:val="decimal"/>
      <w:pPr>
        <w:pBdr/>
        <w:spacing/>
        <w:ind w:hanging="1800" w:left="2160"/>
      </w:pPr>
      <w:rPr>
        <w:rFonts w:hint="default"/>
      </w:rPr>
      <w:start w:val="1"/>
      <w:suff w:val="tab"/>
    </w:lvl>
  </w:abstractNum>
  <w:abstractNum w:abstractNumId="1">
    <w:nsid w:val="10705730"/>
    <w:lvl w:ilvl="0">
      <w:isLgl w:val="false"/>
      <w:lvlJc w:val="left"/>
      <w:lvlText w:val="%1-"/>
      <w:numFmt w:val="decimal"/>
      <w:pPr>
        <w:pBdr/>
        <w:spacing/>
        <w:ind w:hanging="360" w:left="780"/>
      </w:pPr>
      <w:rPr>
        <w:rFonts w:hint="default"/>
      </w:rPr>
      <w:start w:val="1"/>
      <w:suff w:val="tab"/>
    </w:lvl>
    <w:lvl w:ilvl="1">
      <w:isLgl w:val="false"/>
      <w:lvlJc w:val="left"/>
      <w:lvlText w:val="%2."/>
      <w:numFmt w:val="lowerLetter"/>
      <w:pPr>
        <w:pBdr/>
        <w:spacing/>
        <w:ind w:hanging="360" w:left="1500"/>
      </w:pPr>
      <w:rPr/>
      <w:start w:val="1"/>
      <w:suff w:val="tab"/>
    </w:lvl>
    <w:lvl w:ilvl="2">
      <w:isLgl w:val="false"/>
      <w:lvlJc w:val="right"/>
      <w:lvlText w:val="%3."/>
      <w:numFmt w:val="lowerRoman"/>
      <w:pPr>
        <w:pBdr/>
        <w:spacing/>
        <w:ind w:hanging="180" w:left="2220"/>
      </w:pPr>
      <w:rPr/>
      <w:start w:val="1"/>
      <w:suff w:val="tab"/>
    </w:lvl>
    <w:lvl w:ilvl="3">
      <w:isLgl w:val="false"/>
      <w:lvlJc w:val="left"/>
      <w:lvlText w:val="%4."/>
      <w:numFmt w:val="decimal"/>
      <w:pPr>
        <w:pBdr/>
        <w:spacing/>
        <w:ind w:hanging="360" w:left="2940"/>
      </w:pPr>
      <w:rPr/>
      <w:start w:val="1"/>
      <w:suff w:val="tab"/>
    </w:lvl>
    <w:lvl w:ilvl="4">
      <w:isLgl w:val="false"/>
      <w:lvlJc w:val="left"/>
      <w:lvlText w:val="%5."/>
      <w:numFmt w:val="lowerLetter"/>
      <w:pPr>
        <w:pBdr/>
        <w:spacing/>
        <w:ind w:hanging="360" w:left="3660"/>
      </w:pPr>
      <w:rPr/>
      <w:start w:val="1"/>
      <w:suff w:val="tab"/>
    </w:lvl>
    <w:lvl w:ilvl="5">
      <w:isLgl w:val="false"/>
      <w:lvlJc w:val="right"/>
      <w:lvlText w:val="%6."/>
      <w:numFmt w:val="lowerRoman"/>
      <w:pPr>
        <w:pBdr/>
        <w:spacing/>
        <w:ind w:hanging="180" w:left="4380"/>
      </w:pPr>
      <w:rPr/>
      <w:start w:val="1"/>
      <w:suff w:val="tab"/>
    </w:lvl>
    <w:lvl w:ilvl="6">
      <w:isLgl w:val="false"/>
      <w:lvlJc w:val="left"/>
      <w:lvlText w:val="%7."/>
      <w:numFmt w:val="decimal"/>
      <w:pPr>
        <w:pBdr/>
        <w:spacing/>
        <w:ind w:hanging="360" w:left="5100"/>
      </w:pPr>
      <w:rPr/>
      <w:start w:val="1"/>
      <w:suff w:val="tab"/>
    </w:lvl>
    <w:lvl w:ilvl="7">
      <w:isLgl w:val="false"/>
      <w:lvlJc w:val="left"/>
      <w:lvlText w:val="%8."/>
      <w:numFmt w:val="lowerLetter"/>
      <w:pPr>
        <w:pBdr/>
        <w:spacing/>
        <w:ind w:hanging="360" w:left="5820"/>
      </w:pPr>
      <w:rPr/>
      <w:start w:val="1"/>
      <w:suff w:val="tab"/>
    </w:lvl>
    <w:lvl w:ilvl="8">
      <w:isLgl w:val="false"/>
      <w:lvlJc w:val="right"/>
      <w:lvlText w:val="%9."/>
      <w:numFmt w:val="lowerRoman"/>
      <w:pPr>
        <w:pBdr/>
        <w:spacing/>
        <w:ind w:hanging="180" w:left="6540"/>
      </w:pPr>
      <w:rPr/>
      <w:start w:val="1"/>
      <w:suff w:val="tab"/>
    </w:lvl>
  </w:abstractNum>
  <w:abstractNum w:abstractNumId="2">
    <w:nsid w:val="17764B5A"/>
    <w:lvl w:ilvl="0">
      <w:isLgl w:val="false"/>
      <w:lvlJc w:val="left"/>
      <w:lvlText w:val=""/>
      <w:numFmt w:val="bullet"/>
      <w:pPr>
        <w:pBdr/>
        <w:spacing/>
        <w:ind w:hanging="360" w:left="720"/>
      </w:pPr>
      <w:rPr>
        <w:rFonts w:hint="default" w:ascii="Symbol" w:hAnsi="Symbol"/>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
    <w:nsid w:val="1B1F22F1"/>
    <w:lvl w:ilvl="0">
      <w:isLgl w:val="false"/>
      <w:lvlJc w:val="left"/>
      <w:lvlText w:val=""/>
      <w:numFmt w:val="bullet"/>
      <w:pPr>
        <w:pBdr/>
        <w:tabs>
          <w:tab w:val="num" w:leader="none" w:pos="720"/>
        </w:tabs>
        <w:spacing/>
        <w:ind w:hanging="360" w:left="720"/>
      </w:pPr>
      <w:rPr>
        <w:rFonts w:hint="default" w:ascii="Symbol" w:hAnsi="Symbol"/>
        <w:sz w:val="20"/>
      </w:rPr>
      <w:start w:val="1"/>
      <w:suff w:val="tab"/>
    </w:lvl>
    <w:lvl w:ilvl="1">
      <w:isLgl w:val="false"/>
      <w:lvlJc w:val="left"/>
      <w:lvlText w:val="o"/>
      <w:numFmt w:val="bullet"/>
      <w:pPr>
        <w:pBdr/>
        <w:tabs>
          <w:tab w:val="num" w:leader="none" w:pos="1440"/>
        </w:tabs>
        <w:spacing/>
        <w:ind w:hanging="360" w:left="1440"/>
      </w:pPr>
      <w:rPr>
        <w:rFonts w:hint="default" w:ascii="Courier New" w:hAnsi="Courier New"/>
        <w:sz w:val="20"/>
      </w:rPr>
      <w:start w:val="1"/>
      <w:suff w:val="tab"/>
    </w:lvl>
    <w:lvl w:ilvl="2">
      <w:isLgl w:val="false"/>
      <w:lvlJc w:val="left"/>
      <w:lvlText w:val=""/>
      <w:numFmt w:val="bullet"/>
      <w:pPr>
        <w:pBdr/>
        <w:tabs>
          <w:tab w:val="num" w:leader="none" w:pos="2160"/>
        </w:tabs>
        <w:spacing/>
        <w:ind w:hanging="360" w:left="2160"/>
      </w:pPr>
      <w:rPr>
        <w:rFonts w:hint="default" w:ascii="Wingdings" w:hAnsi="Wingdings"/>
        <w:sz w:val="20"/>
      </w:rPr>
      <w:start w:val="1"/>
      <w:suff w:val="tab"/>
    </w:lvl>
    <w:lvl w:ilvl="3">
      <w:isLgl w:val="false"/>
      <w:lvlJc w:val="left"/>
      <w:lvlText w:val=""/>
      <w:numFmt w:val="bullet"/>
      <w:pPr>
        <w:pBdr/>
        <w:tabs>
          <w:tab w:val="num" w:leader="none" w:pos="2880"/>
        </w:tabs>
        <w:spacing/>
        <w:ind w:hanging="360" w:left="2880"/>
      </w:pPr>
      <w:rPr>
        <w:rFonts w:hint="default" w:ascii="Wingdings" w:hAnsi="Wingdings"/>
        <w:sz w:val="20"/>
      </w:rPr>
      <w:start w:val="1"/>
      <w:suff w:val="tab"/>
    </w:lvl>
    <w:lvl w:ilvl="4">
      <w:isLgl w:val="false"/>
      <w:lvlJc w:val="left"/>
      <w:lvlText w:val=""/>
      <w:numFmt w:val="bullet"/>
      <w:pPr>
        <w:pBdr/>
        <w:tabs>
          <w:tab w:val="num" w:leader="none" w:pos="3600"/>
        </w:tabs>
        <w:spacing/>
        <w:ind w:hanging="360" w:left="3600"/>
      </w:pPr>
      <w:rPr>
        <w:rFonts w:hint="default" w:ascii="Wingdings" w:hAnsi="Wingdings"/>
        <w:sz w:val="20"/>
      </w:rPr>
      <w:start w:val="1"/>
      <w:suff w:val="tab"/>
    </w:lvl>
    <w:lvl w:ilvl="5">
      <w:isLgl w:val="false"/>
      <w:lvlJc w:val="left"/>
      <w:lvlText w:val=""/>
      <w:numFmt w:val="bullet"/>
      <w:pPr>
        <w:pBdr/>
        <w:tabs>
          <w:tab w:val="num" w:leader="none" w:pos="4320"/>
        </w:tabs>
        <w:spacing/>
        <w:ind w:hanging="360" w:left="4320"/>
      </w:pPr>
      <w:rPr>
        <w:rFonts w:hint="default" w:ascii="Wingdings" w:hAnsi="Wingdings"/>
        <w:sz w:val="20"/>
      </w:rPr>
      <w:start w:val="1"/>
      <w:suff w:val="tab"/>
    </w:lvl>
    <w:lvl w:ilvl="6">
      <w:isLgl w:val="false"/>
      <w:lvlJc w:val="left"/>
      <w:lvlText w:val=""/>
      <w:numFmt w:val="bullet"/>
      <w:pPr>
        <w:pBdr/>
        <w:tabs>
          <w:tab w:val="num" w:leader="none" w:pos="5040"/>
        </w:tabs>
        <w:spacing/>
        <w:ind w:hanging="360" w:left="5040"/>
      </w:pPr>
      <w:rPr>
        <w:rFonts w:hint="default" w:ascii="Wingdings" w:hAnsi="Wingdings"/>
        <w:sz w:val="20"/>
      </w:rPr>
      <w:start w:val="1"/>
      <w:suff w:val="tab"/>
    </w:lvl>
    <w:lvl w:ilvl="7">
      <w:isLgl w:val="false"/>
      <w:lvlJc w:val="left"/>
      <w:lvlText w:val=""/>
      <w:numFmt w:val="bullet"/>
      <w:pPr>
        <w:pBdr/>
        <w:tabs>
          <w:tab w:val="num" w:leader="none" w:pos="5760"/>
        </w:tabs>
        <w:spacing/>
        <w:ind w:hanging="360" w:left="5760"/>
      </w:pPr>
      <w:rPr>
        <w:rFonts w:hint="default" w:ascii="Wingdings" w:hAnsi="Wingdings"/>
        <w:sz w:val="20"/>
      </w:rPr>
      <w:start w:val="1"/>
      <w:suff w:val="tab"/>
    </w:lvl>
    <w:lvl w:ilvl="8">
      <w:isLgl w:val="false"/>
      <w:lvlJc w:val="left"/>
      <w:lvlText w:val=""/>
      <w:numFmt w:val="bullet"/>
      <w:pPr>
        <w:pBdr/>
        <w:tabs>
          <w:tab w:val="num" w:leader="none" w:pos="6480"/>
        </w:tabs>
        <w:spacing/>
        <w:ind w:hanging="360" w:left="6480"/>
      </w:pPr>
      <w:rPr>
        <w:rFonts w:hint="default" w:ascii="Wingdings" w:hAnsi="Wingdings"/>
        <w:sz w:val="20"/>
      </w:rPr>
      <w:start w:val="1"/>
      <w:suff w:val="tab"/>
    </w:lvl>
  </w:abstractNum>
  <w:abstractNum w:abstractNumId="4">
    <w:nsid w:val="2BD00DBB"/>
    <w:lvl w:ilvl="0">
      <w:isLgl w:val="false"/>
      <w:lvlJc w:val="left"/>
      <w:lvlText w:val=""/>
      <w:numFmt w:val="bullet"/>
      <w:pPr>
        <w:pBdr/>
        <w:tabs>
          <w:tab w:val="num" w:leader="none" w:pos="720"/>
        </w:tabs>
        <w:spacing/>
        <w:ind w:hanging="360" w:left="720"/>
      </w:pPr>
      <w:rPr>
        <w:rFonts w:hint="default" w:ascii="Symbol" w:hAnsi="Symbol"/>
        <w:sz w:val="20"/>
      </w:rPr>
      <w:start w:val="1"/>
      <w:suff w:val="tab"/>
    </w:lvl>
    <w:lvl w:ilvl="1">
      <w:isLgl w:val="false"/>
      <w:lvlJc w:val="left"/>
      <w:lvlText w:val="o"/>
      <w:numFmt w:val="bullet"/>
      <w:pPr>
        <w:pBdr/>
        <w:tabs>
          <w:tab w:val="num" w:leader="none" w:pos="1440"/>
        </w:tabs>
        <w:spacing/>
        <w:ind w:hanging="360" w:left="1440"/>
      </w:pPr>
      <w:rPr>
        <w:rFonts w:hint="default" w:ascii="Courier New" w:hAnsi="Courier New"/>
        <w:sz w:val="20"/>
      </w:rPr>
      <w:start w:val="1"/>
      <w:suff w:val="tab"/>
    </w:lvl>
    <w:lvl w:ilvl="2">
      <w:isLgl w:val="false"/>
      <w:lvlJc w:val="left"/>
      <w:lvlText w:val=""/>
      <w:numFmt w:val="bullet"/>
      <w:pPr>
        <w:pBdr/>
        <w:tabs>
          <w:tab w:val="num" w:leader="none" w:pos="2160"/>
        </w:tabs>
        <w:spacing/>
        <w:ind w:hanging="360" w:left="2160"/>
      </w:pPr>
      <w:rPr>
        <w:rFonts w:hint="default" w:ascii="Wingdings" w:hAnsi="Wingdings"/>
        <w:sz w:val="20"/>
      </w:rPr>
      <w:start w:val="1"/>
      <w:suff w:val="tab"/>
    </w:lvl>
    <w:lvl w:ilvl="3">
      <w:isLgl w:val="false"/>
      <w:lvlJc w:val="left"/>
      <w:lvlText w:val=""/>
      <w:numFmt w:val="bullet"/>
      <w:pPr>
        <w:pBdr/>
        <w:tabs>
          <w:tab w:val="num" w:leader="none" w:pos="2880"/>
        </w:tabs>
        <w:spacing/>
        <w:ind w:hanging="360" w:left="2880"/>
      </w:pPr>
      <w:rPr>
        <w:rFonts w:hint="default" w:ascii="Wingdings" w:hAnsi="Wingdings"/>
        <w:sz w:val="20"/>
      </w:rPr>
      <w:start w:val="1"/>
      <w:suff w:val="tab"/>
    </w:lvl>
    <w:lvl w:ilvl="4">
      <w:isLgl w:val="false"/>
      <w:lvlJc w:val="left"/>
      <w:lvlText w:val=""/>
      <w:numFmt w:val="bullet"/>
      <w:pPr>
        <w:pBdr/>
        <w:tabs>
          <w:tab w:val="num" w:leader="none" w:pos="3600"/>
        </w:tabs>
        <w:spacing/>
        <w:ind w:hanging="360" w:left="3600"/>
      </w:pPr>
      <w:rPr>
        <w:rFonts w:hint="default" w:ascii="Wingdings" w:hAnsi="Wingdings"/>
        <w:sz w:val="20"/>
      </w:rPr>
      <w:start w:val="1"/>
      <w:suff w:val="tab"/>
    </w:lvl>
    <w:lvl w:ilvl="5">
      <w:isLgl w:val="false"/>
      <w:lvlJc w:val="left"/>
      <w:lvlText w:val=""/>
      <w:numFmt w:val="bullet"/>
      <w:pPr>
        <w:pBdr/>
        <w:tabs>
          <w:tab w:val="num" w:leader="none" w:pos="4320"/>
        </w:tabs>
        <w:spacing/>
        <w:ind w:hanging="360" w:left="4320"/>
      </w:pPr>
      <w:rPr>
        <w:rFonts w:hint="default" w:ascii="Wingdings" w:hAnsi="Wingdings"/>
        <w:sz w:val="20"/>
      </w:rPr>
      <w:start w:val="1"/>
      <w:suff w:val="tab"/>
    </w:lvl>
    <w:lvl w:ilvl="6">
      <w:isLgl w:val="false"/>
      <w:lvlJc w:val="left"/>
      <w:lvlText w:val=""/>
      <w:numFmt w:val="bullet"/>
      <w:pPr>
        <w:pBdr/>
        <w:tabs>
          <w:tab w:val="num" w:leader="none" w:pos="5040"/>
        </w:tabs>
        <w:spacing/>
        <w:ind w:hanging="360" w:left="5040"/>
      </w:pPr>
      <w:rPr>
        <w:rFonts w:hint="default" w:ascii="Wingdings" w:hAnsi="Wingdings"/>
        <w:sz w:val="20"/>
      </w:rPr>
      <w:start w:val="1"/>
      <w:suff w:val="tab"/>
    </w:lvl>
    <w:lvl w:ilvl="7">
      <w:isLgl w:val="false"/>
      <w:lvlJc w:val="left"/>
      <w:lvlText w:val=""/>
      <w:numFmt w:val="bullet"/>
      <w:pPr>
        <w:pBdr/>
        <w:tabs>
          <w:tab w:val="num" w:leader="none" w:pos="5760"/>
        </w:tabs>
        <w:spacing/>
        <w:ind w:hanging="360" w:left="5760"/>
      </w:pPr>
      <w:rPr>
        <w:rFonts w:hint="default" w:ascii="Wingdings" w:hAnsi="Wingdings"/>
        <w:sz w:val="20"/>
      </w:rPr>
      <w:start w:val="1"/>
      <w:suff w:val="tab"/>
    </w:lvl>
    <w:lvl w:ilvl="8">
      <w:isLgl w:val="false"/>
      <w:lvlJc w:val="left"/>
      <w:lvlText w:val=""/>
      <w:numFmt w:val="bullet"/>
      <w:pPr>
        <w:pBdr/>
        <w:tabs>
          <w:tab w:val="num" w:leader="none" w:pos="6480"/>
        </w:tabs>
        <w:spacing/>
        <w:ind w:hanging="360" w:left="6480"/>
      </w:pPr>
      <w:rPr>
        <w:rFonts w:hint="default" w:ascii="Wingdings" w:hAnsi="Wingdings"/>
        <w:sz w:val="20"/>
      </w:rPr>
      <w:start w:val="1"/>
      <w:suff w:val="tab"/>
    </w:lvl>
  </w:abstractNum>
  <w:abstractNum w:abstractNumId="5">
    <w:nsid w:val="2C8820F3"/>
    <w:lvl w:ilvl="0">
      <w:isLgl w:val="false"/>
      <w:lvlJc w:val="left"/>
      <w:lvlText w:val=""/>
      <w:numFmt w:val="bullet"/>
      <w:pPr>
        <w:pBdr/>
        <w:tabs>
          <w:tab w:val="num" w:leader="none" w:pos="720"/>
        </w:tabs>
        <w:spacing/>
        <w:ind w:hanging="360" w:left="720"/>
      </w:pPr>
      <w:rPr>
        <w:rFonts w:hint="default" w:ascii="Symbol" w:hAnsi="Symbol"/>
        <w:sz w:val="20"/>
      </w:rPr>
      <w:start w:val="1"/>
      <w:suff w:val="tab"/>
    </w:lvl>
    <w:lvl w:ilvl="1">
      <w:isLgl w:val="false"/>
      <w:lvlJc w:val="left"/>
      <w:lvlText w:val="o"/>
      <w:numFmt w:val="bullet"/>
      <w:pPr>
        <w:pBdr/>
        <w:tabs>
          <w:tab w:val="num" w:leader="none" w:pos="1440"/>
        </w:tabs>
        <w:spacing/>
        <w:ind w:hanging="360" w:left="1440"/>
      </w:pPr>
      <w:rPr>
        <w:rFonts w:hint="default" w:ascii="Courier New" w:hAnsi="Courier New"/>
        <w:sz w:val="20"/>
      </w:rPr>
      <w:start w:val="1"/>
      <w:suff w:val="tab"/>
    </w:lvl>
    <w:lvl w:ilvl="2">
      <w:isLgl w:val="false"/>
      <w:lvlJc w:val="left"/>
      <w:lvlText w:val=""/>
      <w:numFmt w:val="bullet"/>
      <w:pPr>
        <w:pBdr/>
        <w:tabs>
          <w:tab w:val="num" w:leader="none" w:pos="2160"/>
        </w:tabs>
        <w:spacing/>
        <w:ind w:hanging="360" w:left="2160"/>
      </w:pPr>
      <w:rPr>
        <w:rFonts w:hint="default" w:ascii="Wingdings" w:hAnsi="Wingdings"/>
        <w:sz w:val="20"/>
      </w:rPr>
      <w:start w:val="1"/>
      <w:suff w:val="tab"/>
    </w:lvl>
    <w:lvl w:ilvl="3">
      <w:isLgl w:val="false"/>
      <w:lvlJc w:val="left"/>
      <w:lvlText w:val=""/>
      <w:numFmt w:val="bullet"/>
      <w:pPr>
        <w:pBdr/>
        <w:tabs>
          <w:tab w:val="num" w:leader="none" w:pos="2880"/>
        </w:tabs>
        <w:spacing/>
        <w:ind w:hanging="360" w:left="2880"/>
      </w:pPr>
      <w:rPr>
        <w:rFonts w:hint="default" w:ascii="Wingdings" w:hAnsi="Wingdings"/>
        <w:sz w:val="20"/>
      </w:rPr>
      <w:start w:val="1"/>
      <w:suff w:val="tab"/>
    </w:lvl>
    <w:lvl w:ilvl="4">
      <w:isLgl w:val="false"/>
      <w:lvlJc w:val="left"/>
      <w:lvlText w:val=""/>
      <w:numFmt w:val="bullet"/>
      <w:pPr>
        <w:pBdr/>
        <w:tabs>
          <w:tab w:val="num" w:leader="none" w:pos="3600"/>
        </w:tabs>
        <w:spacing/>
        <w:ind w:hanging="360" w:left="3600"/>
      </w:pPr>
      <w:rPr>
        <w:rFonts w:hint="default" w:ascii="Wingdings" w:hAnsi="Wingdings"/>
        <w:sz w:val="20"/>
      </w:rPr>
      <w:start w:val="1"/>
      <w:suff w:val="tab"/>
    </w:lvl>
    <w:lvl w:ilvl="5">
      <w:isLgl w:val="false"/>
      <w:lvlJc w:val="left"/>
      <w:lvlText w:val=""/>
      <w:numFmt w:val="bullet"/>
      <w:pPr>
        <w:pBdr/>
        <w:tabs>
          <w:tab w:val="num" w:leader="none" w:pos="4320"/>
        </w:tabs>
        <w:spacing/>
        <w:ind w:hanging="360" w:left="4320"/>
      </w:pPr>
      <w:rPr>
        <w:rFonts w:hint="default" w:ascii="Wingdings" w:hAnsi="Wingdings"/>
        <w:sz w:val="20"/>
      </w:rPr>
      <w:start w:val="1"/>
      <w:suff w:val="tab"/>
    </w:lvl>
    <w:lvl w:ilvl="6">
      <w:isLgl w:val="false"/>
      <w:lvlJc w:val="left"/>
      <w:lvlText w:val=""/>
      <w:numFmt w:val="bullet"/>
      <w:pPr>
        <w:pBdr/>
        <w:tabs>
          <w:tab w:val="num" w:leader="none" w:pos="5040"/>
        </w:tabs>
        <w:spacing/>
        <w:ind w:hanging="360" w:left="5040"/>
      </w:pPr>
      <w:rPr>
        <w:rFonts w:hint="default" w:ascii="Wingdings" w:hAnsi="Wingdings"/>
        <w:sz w:val="20"/>
      </w:rPr>
      <w:start w:val="1"/>
      <w:suff w:val="tab"/>
    </w:lvl>
    <w:lvl w:ilvl="7">
      <w:isLgl w:val="false"/>
      <w:lvlJc w:val="left"/>
      <w:lvlText w:val=""/>
      <w:numFmt w:val="bullet"/>
      <w:pPr>
        <w:pBdr/>
        <w:tabs>
          <w:tab w:val="num" w:leader="none" w:pos="5760"/>
        </w:tabs>
        <w:spacing/>
        <w:ind w:hanging="360" w:left="5760"/>
      </w:pPr>
      <w:rPr>
        <w:rFonts w:hint="default" w:ascii="Wingdings" w:hAnsi="Wingdings"/>
        <w:sz w:val="20"/>
      </w:rPr>
      <w:start w:val="1"/>
      <w:suff w:val="tab"/>
    </w:lvl>
    <w:lvl w:ilvl="8">
      <w:isLgl w:val="false"/>
      <w:lvlJc w:val="left"/>
      <w:lvlText w:val=""/>
      <w:numFmt w:val="bullet"/>
      <w:pPr>
        <w:pBdr/>
        <w:tabs>
          <w:tab w:val="num" w:leader="none" w:pos="6480"/>
        </w:tabs>
        <w:spacing/>
        <w:ind w:hanging="360" w:left="6480"/>
      </w:pPr>
      <w:rPr>
        <w:rFonts w:hint="default" w:ascii="Wingdings" w:hAnsi="Wingdings"/>
        <w:sz w:val="20"/>
      </w:rPr>
      <w:start w:val="1"/>
      <w:suff w:val="tab"/>
    </w:lvl>
  </w:abstractNum>
  <w:abstractNum w:abstractNumId="6">
    <w:nsid w:val="3880499F"/>
    <w:lvl w:ilvl="0">
      <w:isLgl w:val="false"/>
      <w:lvlJc w:val="left"/>
      <w:lvlText w:val=""/>
      <w:numFmt w:val="bullet"/>
      <w:pPr>
        <w:pBdr/>
        <w:tabs>
          <w:tab w:val="num" w:leader="none" w:pos="720"/>
        </w:tabs>
        <w:spacing/>
        <w:ind w:hanging="360" w:left="720"/>
      </w:pPr>
      <w:rPr>
        <w:rFonts w:hint="default" w:ascii="Symbol" w:hAnsi="Symbol"/>
        <w:sz w:val="20"/>
      </w:rPr>
      <w:start w:val="1"/>
      <w:suff w:val="tab"/>
    </w:lvl>
    <w:lvl w:ilvl="1">
      <w:isLgl w:val="false"/>
      <w:lvlJc w:val="left"/>
      <w:lvlText w:val="o"/>
      <w:numFmt w:val="bullet"/>
      <w:pPr>
        <w:pBdr/>
        <w:tabs>
          <w:tab w:val="num" w:leader="none" w:pos="1440"/>
        </w:tabs>
        <w:spacing/>
        <w:ind w:hanging="360" w:left="1440"/>
      </w:pPr>
      <w:rPr>
        <w:rFonts w:hint="default" w:ascii="Courier New" w:hAnsi="Courier New"/>
        <w:sz w:val="20"/>
      </w:rPr>
      <w:start w:val="1"/>
      <w:suff w:val="tab"/>
    </w:lvl>
    <w:lvl w:ilvl="2">
      <w:isLgl w:val="false"/>
      <w:lvlJc w:val="left"/>
      <w:lvlText w:val=""/>
      <w:numFmt w:val="bullet"/>
      <w:pPr>
        <w:pBdr/>
        <w:tabs>
          <w:tab w:val="num" w:leader="none" w:pos="2160"/>
        </w:tabs>
        <w:spacing/>
        <w:ind w:hanging="360" w:left="2160"/>
      </w:pPr>
      <w:rPr>
        <w:rFonts w:hint="default" w:ascii="Wingdings" w:hAnsi="Wingdings"/>
        <w:sz w:val="20"/>
      </w:rPr>
      <w:start w:val="1"/>
      <w:suff w:val="tab"/>
    </w:lvl>
    <w:lvl w:ilvl="3">
      <w:isLgl w:val="false"/>
      <w:lvlJc w:val="left"/>
      <w:lvlText w:val=""/>
      <w:numFmt w:val="bullet"/>
      <w:pPr>
        <w:pBdr/>
        <w:tabs>
          <w:tab w:val="num" w:leader="none" w:pos="2880"/>
        </w:tabs>
        <w:spacing/>
        <w:ind w:hanging="360" w:left="2880"/>
      </w:pPr>
      <w:rPr>
        <w:rFonts w:hint="default" w:ascii="Wingdings" w:hAnsi="Wingdings"/>
        <w:sz w:val="20"/>
      </w:rPr>
      <w:start w:val="1"/>
      <w:suff w:val="tab"/>
    </w:lvl>
    <w:lvl w:ilvl="4">
      <w:isLgl w:val="false"/>
      <w:lvlJc w:val="left"/>
      <w:lvlText w:val=""/>
      <w:numFmt w:val="bullet"/>
      <w:pPr>
        <w:pBdr/>
        <w:tabs>
          <w:tab w:val="num" w:leader="none" w:pos="3600"/>
        </w:tabs>
        <w:spacing/>
        <w:ind w:hanging="360" w:left="3600"/>
      </w:pPr>
      <w:rPr>
        <w:rFonts w:hint="default" w:ascii="Wingdings" w:hAnsi="Wingdings"/>
        <w:sz w:val="20"/>
      </w:rPr>
      <w:start w:val="1"/>
      <w:suff w:val="tab"/>
    </w:lvl>
    <w:lvl w:ilvl="5">
      <w:isLgl w:val="false"/>
      <w:lvlJc w:val="left"/>
      <w:lvlText w:val=""/>
      <w:numFmt w:val="bullet"/>
      <w:pPr>
        <w:pBdr/>
        <w:tabs>
          <w:tab w:val="num" w:leader="none" w:pos="4320"/>
        </w:tabs>
        <w:spacing/>
        <w:ind w:hanging="360" w:left="4320"/>
      </w:pPr>
      <w:rPr>
        <w:rFonts w:hint="default" w:ascii="Wingdings" w:hAnsi="Wingdings"/>
        <w:sz w:val="20"/>
      </w:rPr>
      <w:start w:val="1"/>
      <w:suff w:val="tab"/>
    </w:lvl>
    <w:lvl w:ilvl="6">
      <w:isLgl w:val="false"/>
      <w:lvlJc w:val="left"/>
      <w:lvlText w:val=""/>
      <w:numFmt w:val="bullet"/>
      <w:pPr>
        <w:pBdr/>
        <w:tabs>
          <w:tab w:val="num" w:leader="none" w:pos="5040"/>
        </w:tabs>
        <w:spacing/>
        <w:ind w:hanging="360" w:left="5040"/>
      </w:pPr>
      <w:rPr>
        <w:rFonts w:hint="default" w:ascii="Wingdings" w:hAnsi="Wingdings"/>
        <w:sz w:val="20"/>
      </w:rPr>
      <w:start w:val="1"/>
      <w:suff w:val="tab"/>
    </w:lvl>
    <w:lvl w:ilvl="7">
      <w:isLgl w:val="false"/>
      <w:lvlJc w:val="left"/>
      <w:lvlText w:val=""/>
      <w:numFmt w:val="bullet"/>
      <w:pPr>
        <w:pBdr/>
        <w:tabs>
          <w:tab w:val="num" w:leader="none" w:pos="5760"/>
        </w:tabs>
        <w:spacing/>
        <w:ind w:hanging="360" w:left="5760"/>
      </w:pPr>
      <w:rPr>
        <w:rFonts w:hint="default" w:ascii="Wingdings" w:hAnsi="Wingdings"/>
        <w:sz w:val="20"/>
      </w:rPr>
      <w:start w:val="1"/>
      <w:suff w:val="tab"/>
    </w:lvl>
    <w:lvl w:ilvl="8">
      <w:isLgl w:val="false"/>
      <w:lvlJc w:val="left"/>
      <w:lvlText w:val=""/>
      <w:numFmt w:val="bullet"/>
      <w:pPr>
        <w:pBdr/>
        <w:tabs>
          <w:tab w:val="num" w:leader="none" w:pos="6480"/>
        </w:tabs>
        <w:spacing/>
        <w:ind w:hanging="360" w:left="6480"/>
      </w:pPr>
      <w:rPr>
        <w:rFonts w:hint="default" w:ascii="Wingdings" w:hAnsi="Wingdings"/>
        <w:sz w:val="20"/>
      </w:rPr>
      <w:start w:val="1"/>
      <w:suff w:val="tab"/>
    </w:lvl>
  </w:abstractNum>
  <w:abstractNum w:abstractNumId="7">
    <w:nsid w:val="3A910DC0"/>
    <w:lvl w:ilvl="0">
      <w:isLgl w:val="false"/>
      <w:lvlJc w:val="left"/>
      <w:lvlText w:val=""/>
      <w:numFmt w:val="bullet"/>
      <w:pPr>
        <w:pBdr/>
        <w:spacing/>
        <w:ind w:hanging="360" w:left="1287"/>
      </w:pPr>
      <w:rPr>
        <w:rFonts w:hint="default" w:ascii="Wingdings" w:hAnsi="Wingdings"/>
      </w:rPr>
      <w:start w:val="1"/>
      <w:suff w:val="tab"/>
    </w:lvl>
    <w:lvl w:ilvl="1">
      <w:isLgl w:val="false"/>
      <w:lvlJc w:val="left"/>
      <w:lvlText w:val="o"/>
      <w:numFmt w:val="bullet"/>
      <w:pPr>
        <w:pBdr/>
        <w:spacing/>
        <w:ind w:hanging="360" w:left="2007"/>
      </w:pPr>
      <w:rPr>
        <w:rFonts w:hint="default" w:ascii="Courier New" w:hAnsi="Courier New" w:cs="Courier New"/>
      </w:rPr>
      <w:start w:val="1"/>
      <w:suff w:val="tab"/>
    </w:lvl>
    <w:lvl w:ilvl="2">
      <w:isLgl w:val="false"/>
      <w:lvlJc w:val="left"/>
      <w:lvlText w:val=""/>
      <w:numFmt w:val="bullet"/>
      <w:pPr>
        <w:pBdr/>
        <w:spacing/>
        <w:ind w:hanging="360" w:left="2727"/>
      </w:pPr>
      <w:rPr>
        <w:rFonts w:hint="default" w:ascii="Wingdings" w:hAnsi="Wingdings"/>
      </w:rPr>
      <w:start w:val="1"/>
      <w:suff w:val="tab"/>
    </w:lvl>
    <w:lvl w:ilvl="3">
      <w:isLgl w:val="false"/>
      <w:lvlJc w:val="left"/>
      <w:lvlText w:val=""/>
      <w:numFmt w:val="bullet"/>
      <w:pPr>
        <w:pBdr/>
        <w:spacing/>
        <w:ind w:hanging="360" w:left="3447"/>
      </w:pPr>
      <w:rPr>
        <w:rFonts w:hint="default" w:ascii="Symbol" w:hAnsi="Symbol"/>
      </w:rPr>
      <w:start w:val="1"/>
      <w:suff w:val="tab"/>
    </w:lvl>
    <w:lvl w:ilvl="4">
      <w:isLgl w:val="false"/>
      <w:lvlJc w:val="left"/>
      <w:lvlText w:val="o"/>
      <w:numFmt w:val="bullet"/>
      <w:pPr>
        <w:pBdr/>
        <w:spacing/>
        <w:ind w:hanging="360" w:left="4167"/>
      </w:pPr>
      <w:rPr>
        <w:rFonts w:hint="default" w:ascii="Courier New" w:hAnsi="Courier New" w:cs="Courier New"/>
      </w:rPr>
      <w:start w:val="1"/>
      <w:suff w:val="tab"/>
    </w:lvl>
    <w:lvl w:ilvl="5">
      <w:isLgl w:val="false"/>
      <w:lvlJc w:val="left"/>
      <w:lvlText w:val=""/>
      <w:numFmt w:val="bullet"/>
      <w:pPr>
        <w:pBdr/>
        <w:spacing/>
        <w:ind w:hanging="360" w:left="4887"/>
      </w:pPr>
      <w:rPr>
        <w:rFonts w:hint="default" w:ascii="Wingdings" w:hAnsi="Wingdings"/>
      </w:rPr>
      <w:start w:val="1"/>
      <w:suff w:val="tab"/>
    </w:lvl>
    <w:lvl w:ilvl="6">
      <w:isLgl w:val="false"/>
      <w:lvlJc w:val="left"/>
      <w:lvlText w:val=""/>
      <w:numFmt w:val="bullet"/>
      <w:pPr>
        <w:pBdr/>
        <w:spacing/>
        <w:ind w:hanging="360" w:left="5607"/>
      </w:pPr>
      <w:rPr>
        <w:rFonts w:hint="default" w:ascii="Symbol" w:hAnsi="Symbol"/>
      </w:rPr>
      <w:start w:val="1"/>
      <w:suff w:val="tab"/>
    </w:lvl>
    <w:lvl w:ilvl="7">
      <w:isLgl w:val="false"/>
      <w:lvlJc w:val="left"/>
      <w:lvlText w:val="o"/>
      <w:numFmt w:val="bullet"/>
      <w:pPr>
        <w:pBdr/>
        <w:spacing/>
        <w:ind w:hanging="360" w:left="6327"/>
      </w:pPr>
      <w:rPr>
        <w:rFonts w:hint="default" w:ascii="Courier New" w:hAnsi="Courier New" w:cs="Courier New"/>
      </w:rPr>
      <w:start w:val="1"/>
      <w:suff w:val="tab"/>
    </w:lvl>
    <w:lvl w:ilvl="8">
      <w:isLgl w:val="false"/>
      <w:lvlJc w:val="left"/>
      <w:lvlText w:val=""/>
      <w:numFmt w:val="bullet"/>
      <w:pPr>
        <w:pBdr/>
        <w:spacing/>
        <w:ind w:hanging="360" w:left="7047"/>
      </w:pPr>
      <w:rPr>
        <w:rFonts w:hint="default" w:ascii="Wingdings" w:hAnsi="Wingdings"/>
      </w:rPr>
      <w:start w:val="1"/>
      <w:suff w:val="tab"/>
    </w:lvl>
  </w:abstractNum>
  <w:abstractNum w:abstractNumId="8">
    <w:nsid w:val="3B7E0153"/>
    <w:lvl w:ilvl="0">
      <w:isLgl w:val="false"/>
      <w:lvlJc w:val="left"/>
      <w:lvlText w:val="%1"/>
      <w:numFmt w:val="decimal"/>
      <w:pPr>
        <w:pBdr/>
        <w:spacing/>
        <w:ind w:hanging="360" w:left="360"/>
      </w:pPr>
      <w:rPr>
        <w:rFonts w:hint="default"/>
      </w:rPr>
      <w:start w:val="2"/>
      <w:suff w:val="tab"/>
    </w:lvl>
    <w:lvl w:ilvl="1">
      <w:isLgl w:val="false"/>
      <w:lvlJc w:val="left"/>
      <w:lvlText w:val="%1.%2"/>
      <w:numFmt w:val="decimal"/>
      <w:pPr>
        <w:pBdr/>
        <w:spacing/>
        <w:ind w:hanging="360" w:left="780"/>
      </w:pPr>
      <w:rPr>
        <w:rFonts w:hint="default"/>
      </w:rPr>
      <w:start w:val="2"/>
      <w:suff w:val="tab"/>
    </w:lvl>
    <w:lvl w:ilvl="2">
      <w:isLgl w:val="false"/>
      <w:lvlJc w:val="left"/>
      <w:lvlText w:val="%1.%2.%3"/>
      <w:numFmt w:val="decimal"/>
      <w:pPr>
        <w:pBdr/>
        <w:spacing/>
        <w:ind w:hanging="720" w:left="1560"/>
      </w:pPr>
      <w:rPr>
        <w:rFonts w:hint="default"/>
      </w:rPr>
      <w:start w:val="1"/>
      <w:suff w:val="tab"/>
    </w:lvl>
    <w:lvl w:ilvl="3">
      <w:isLgl w:val="false"/>
      <w:lvlJc w:val="left"/>
      <w:lvlText w:val="%1.%2.%3.%4"/>
      <w:numFmt w:val="decimal"/>
      <w:pPr>
        <w:pBdr/>
        <w:spacing/>
        <w:ind w:hanging="720" w:left="1980"/>
      </w:pPr>
      <w:rPr>
        <w:rFonts w:hint="default"/>
      </w:rPr>
      <w:start w:val="1"/>
      <w:suff w:val="tab"/>
    </w:lvl>
    <w:lvl w:ilvl="4">
      <w:isLgl w:val="false"/>
      <w:lvlJc w:val="left"/>
      <w:lvlText w:val="%1.%2.%3.%4.%5"/>
      <w:numFmt w:val="decimal"/>
      <w:pPr>
        <w:pBdr/>
        <w:spacing/>
        <w:ind w:hanging="1080" w:left="2760"/>
      </w:pPr>
      <w:rPr>
        <w:rFonts w:hint="default"/>
      </w:rPr>
      <w:start w:val="1"/>
      <w:suff w:val="tab"/>
    </w:lvl>
    <w:lvl w:ilvl="5">
      <w:isLgl w:val="false"/>
      <w:lvlJc w:val="left"/>
      <w:lvlText w:val="%1.%2.%3.%4.%5.%6"/>
      <w:numFmt w:val="decimal"/>
      <w:pPr>
        <w:pBdr/>
        <w:spacing/>
        <w:ind w:hanging="1080" w:left="3180"/>
      </w:pPr>
      <w:rPr>
        <w:rFonts w:hint="default"/>
      </w:rPr>
      <w:start w:val="1"/>
      <w:suff w:val="tab"/>
    </w:lvl>
    <w:lvl w:ilvl="6">
      <w:isLgl w:val="false"/>
      <w:lvlJc w:val="left"/>
      <w:lvlText w:val="%1.%2.%3.%4.%5.%6.%7"/>
      <w:numFmt w:val="decimal"/>
      <w:pPr>
        <w:pBdr/>
        <w:spacing/>
        <w:ind w:hanging="1440" w:left="3960"/>
      </w:pPr>
      <w:rPr>
        <w:rFonts w:hint="default"/>
      </w:rPr>
      <w:start w:val="1"/>
      <w:suff w:val="tab"/>
    </w:lvl>
    <w:lvl w:ilvl="7">
      <w:isLgl w:val="false"/>
      <w:lvlJc w:val="left"/>
      <w:lvlText w:val="%1.%2.%3.%4.%5.%6.%7.%8"/>
      <w:numFmt w:val="decimal"/>
      <w:pPr>
        <w:pBdr/>
        <w:spacing/>
        <w:ind w:hanging="1440" w:left="4380"/>
      </w:pPr>
      <w:rPr>
        <w:rFonts w:hint="default"/>
      </w:rPr>
      <w:start w:val="1"/>
      <w:suff w:val="tab"/>
    </w:lvl>
    <w:lvl w:ilvl="8">
      <w:isLgl w:val="false"/>
      <w:lvlJc w:val="left"/>
      <w:lvlText w:val="%1.%2.%3.%4.%5.%6.%7.%8.%9"/>
      <w:numFmt w:val="decimal"/>
      <w:pPr>
        <w:pBdr/>
        <w:spacing/>
        <w:ind w:hanging="1440" w:left="4800"/>
      </w:pPr>
      <w:rPr>
        <w:rFonts w:hint="default"/>
      </w:rPr>
      <w:start w:val="1"/>
      <w:suff w:val="tab"/>
    </w:lvl>
  </w:abstractNum>
  <w:abstractNum w:abstractNumId="9">
    <w:nsid w:val="41A06734"/>
    <w:lvl w:ilvl="0">
      <w:isLgl w:val="false"/>
      <w:lvlJc w:val="left"/>
      <w:lvlText w:val=""/>
      <w:numFmt w:val="bullet"/>
      <w:pPr>
        <w:pBdr/>
        <w:tabs>
          <w:tab w:val="num" w:leader="none" w:pos="720"/>
        </w:tabs>
        <w:spacing/>
        <w:ind w:hanging="360" w:left="720"/>
      </w:pPr>
      <w:rPr>
        <w:rFonts w:hint="default" w:ascii="Symbol" w:hAnsi="Symbol"/>
        <w:sz w:val="20"/>
      </w:rPr>
      <w:start w:val="1"/>
      <w:suff w:val="tab"/>
    </w:lvl>
    <w:lvl w:ilvl="1">
      <w:isLgl w:val="false"/>
      <w:lvlJc w:val="left"/>
      <w:lvlText w:val="o"/>
      <w:numFmt w:val="bullet"/>
      <w:pPr>
        <w:pBdr/>
        <w:tabs>
          <w:tab w:val="num" w:leader="none" w:pos="1440"/>
        </w:tabs>
        <w:spacing/>
        <w:ind w:hanging="360" w:left="1440"/>
      </w:pPr>
      <w:rPr>
        <w:rFonts w:hint="default" w:ascii="Courier New" w:hAnsi="Courier New"/>
        <w:sz w:val="20"/>
      </w:rPr>
      <w:start w:val="1"/>
      <w:suff w:val="tab"/>
    </w:lvl>
    <w:lvl w:ilvl="2">
      <w:isLgl w:val="false"/>
      <w:lvlJc w:val="left"/>
      <w:lvlText w:val=""/>
      <w:numFmt w:val="bullet"/>
      <w:pPr>
        <w:pBdr/>
        <w:tabs>
          <w:tab w:val="num" w:leader="none" w:pos="2160"/>
        </w:tabs>
        <w:spacing/>
        <w:ind w:hanging="360" w:left="2160"/>
      </w:pPr>
      <w:rPr>
        <w:rFonts w:hint="default" w:ascii="Wingdings" w:hAnsi="Wingdings"/>
        <w:sz w:val="20"/>
      </w:rPr>
      <w:start w:val="1"/>
      <w:suff w:val="tab"/>
    </w:lvl>
    <w:lvl w:ilvl="3">
      <w:isLgl w:val="false"/>
      <w:lvlJc w:val="left"/>
      <w:lvlText w:val=""/>
      <w:numFmt w:val="bullet"/>
      <w:pPr>
        <w:pBdr/>
        <w:tabs>
          <w:tab w:val="num" w:leader="none" w:pos="2880"/>
        </w:tabs>
        <w:spacing/>
        <w:ind w:hanging="360" w:left="2880"/>
      </w:pPr>
      <w:rPr>
        <w:rFonts w:hint="default" w:ascii="Wingdings" w:hAnsi="Wingdings"/>
        <w:sz w:val="20"/>
      </w:rPr>
      <w:start w:val="1"/>
      <w:suff w:val="tab"/>
    </w:lvl>
    <w:lvl w:ilvl="4">
      <w:isLgl w:val="false"/>
      <w:lvlJc w:val="left"/>
      <w:lvlText w:val=""/>
      <w:numFmt w:val="bullet"/>
      <w:pPr>
        <w:pBdr/>
        <w:tabs>
          <w:tab w:val="num" w:leader="none" w:pos="3600"/>
        </w:tabs>
        <w:spacing/>
        <w:ind w:hanging="360" w:left="3600"/>
      </w:pPr>
      <w:rPr>
        <w:rFonts w:hint="default" w:ascii="Wingdings" w:hAnsi="Wingdings"/>
        <w:sz w:val="20"/>
      </w:rPr>
      <w:start w:val="1"/>
      <w:suff w:val="tab"/>
    </w:lvl>
    <w:lvl w:ilvl="5">
      <w:isLgl w:val="false"/>
      <w:lvlJc w:val="left"/>
      <w:lvlText w:val=""/>
      <w:numFmt w:val="bullet"/>
      <w:pPr>
        <w:pBdr/>
        <w:tabs>
          <w:tab w:val="num" w:leader="none" w:pos="4320"/>
        </w:tabs>
        <w:spacing/>
        <w:ind w:hanging="360" w:left="4320"/>
      </w:pPr>
      <w:rPr>
        <w:rFonts w:hint="default" w:ascii="Wingdings" w:hAnsi="Wingdings"/>
        <w:sz w:val="20"/>
      </w:rPr>
      <w:start w:val="1"/>
      <w:suff w:val="tab"/>
    </w:lvl>
    <w:lvl w:ilvl="6">
      <w:isLgl w:val="false"/>
      <w:lvlJc w:val="left"/>
      <w:lvlText w:val=""/>
      <w:numFmt w:val="bullet"/>
      <w:pPr>
        <w:pBdr/>
        <w:tabs>
          <w:tab w:val="num" w:leader="none" w:pos="5040"/>
        </w:tabs>
        <w:spacing/>
        <w:ind w:hanging="360" w:left="5040"/>
      </w:pPr>
      <w:rPr>
        <w:rFonts w:hint="default" w:ascii="Wingdings" w:hAnsi="Wingdings"/>
        <w:sz w:val="20"/>
      </w:rPr>
      <w:start w:val="1"/>
      <w:suff w:val="tab"/>
    </w:lvl>
    <w:lvl w:ilvl="7">
      <w:isLgl w:val="false"/>
      <w:lvlJc w:val="left"/>
      <w:lvlText w:val=""/>
      <w:numFmt w:val="bullet"/>
      <w:pPr>
        <w:pBdr/>
        <w:tabs>
          <w:tab w:val="num" w:leader="none" w:pos="5760"/>
        </w:tabs>
        <w:spacing/>
        <w:ind w:hanging="360" w:left="5760"/>
      </w:pPr>
      <w:rPr>
        <w:rFonts w:hint="default" w:ascii="Wingdings" w:hAnsi="Wingdings"/>
        <w:sz w:val="20"/>
      </w:rPr>
      <w:start w:val="1"/>
      <w:suff w:val="tab"/>
    </w:lvl>
    <w:lvl w:ilvl="8">
      <w:isLgl w:val="false"/>
      <w:lvlJc w:val="left"/>
      <w:lvlText w:val=""/>
      <w:numFmt w:val="bullet"/>
      <w:pPr>
        <w:pBdr/>
        <w:tabs>
          <w:tab w:val="num" w:leader="none" w:pos="6480"/>
        </w:tabs>
        <w:spacing/>
        <w:ind w:hanging="360" w:left="6480"/>
      </w:pPr>
      <w:rPr>
        <w:rFonts w:hint="default" w:ascii="Wingdings" w:hAnsi="Wingdings"/>
        <w:sz w:val="20"/>
      </w:rPr>
      <w:start w:val="1"/>
      <w:suff w:val="tab"/>
    </w:lvl>
  </w:abstractNum>
  <w:abstractNum w:abstractNumId="10">
    <w:nsid w:val="41D67588"/>
    <w:lvl w:ilvl="0">
      <w:isLgl w:val="false"/>
      <w:lvlJc w:val="left"/>
      <w:lvlText w:val=""/>
      <w:numFmt w:val="bullet"/>
      <w:pPr>
        <w:pBdr/>
        <w:tabs>
          <w:tab w:val="num" w:leader="none" w:pos="720"/>
        </w:tabs>
        <w:spacing/>
        <w:ind w:hanging="360" w:left="720"/>
      </w:pPr>
      <w:rPr>
        <w:rFonts w:hint="default" w:ascii="Symbol" w:hAnsi="Symbol"/>
        <w:sz w:val="20"/>
      </w:rPr>
      <w:start w:val="1"/>
      <w:suff w:val="tab"/>
    </w:lvl>
    <w:lvl w:ilvl="1">
      <w:isLgl w:val="false"/>
      <w:lvlJc w:val="left"/>
      <w:lvlText w:val="o"/>
      <w:numFmt w:val="bullet"/>
      <w:pPr>
        <w:pBdr/>
        <w:tabs>
          <w:tab w:val="num" w:leader="none" w:pos="1440"/>
        </w:tabs>
        <w:spacing/>
        <w:ind w:hanging="360" w:left="1440"/>
      </w:pPr>
      <w:rPr>
        <w:rFonts w:hint="default" w:ascii="Courier New" w:hAnsi="Courier New"/>
        <w:sz w:val="20"/>
      </w:rPr>
      <w:start w:val="1"/>
      <w:suff w:val="tab"/>
    </w:lvl>
    <w:lvl w:ilvl="2">
      <w:isLgl w:val="false"/>
      <w:lvlJc w:val="left"/>
      <w:lvlText w:val=""/>
      <w:numFmt w:val="bullet"/>
      <w:pPr>
        <w:pBdr/>
        <w:tabs>
          <w:tab w:val="num" w:leader="none" w:pos="2160"/>
        </w:tabs>
        <w:spacing/>
        <w:ind w:hanging="360" w:left="2160"/>
      </w:pPr>
      <w:rPr>
        <w:rFonts w:hint="default" w:ascii="Wingdings" w:hAnsi="Wingdings"/>
        <w:sz w:val="20"/>
      </w:rPr>
      <w:start w:val="1"/>
      <w:suff w:val="tab"/>
    </w:lvl>
    <w:lvl w:ilvl="3">
      <w:isLgl w:val="false"/>
      <w:lvlJc w:val="left"/>
      <w:lvlText w:val=""/>
      <w:numFmt w:val="bullet"/>
      <w:pPr>
        <w:pBdr/>
        <w:tabs>
          <w:tab w:val="num" w:leader="none" w:pos="2880"/>
        </w:tabs>
        <w:spacing/>
        <w:ind w:hanging="360" w:left="2880"/>
      </w:pPr>
      <w:rPr>
        <w:rFonts w:hint="default" w:ascii="Wingdings" w:hAnsi="Wingdings"/>
        <w:sz w:val="20"/>
      </w:rPr>
      <w:start w:val="1"/>
      <w:suff w:val="tab"/>
    </w:lvl>
    <w:lvl w:ilvl="4">
      <w:isLgl w:val="false"/>
      <w:lvlJc w:val="left"/>
      <w:lvlText w:val=""/>
      <w:numFmt w:val="bullet"/>
      <w:pPr>
        <w:pBdr/>
        <w:tabs>
          <w:tab w:val="num" w:leader="none" w:pos="3600"/>
        </w:tabs>
        <w:spacing/>
        <w:ind w:hanging="360" w:left="3600"/>
      </w:pPr>
      <w:rPr>
        <w:rFonts w:hint="default" w:ascii="Wingdings" w:hAnsi="Wingdings"/>
        <w:sz w:val="20"/>
      </w:rPr>
      <w:start w:val="1"/>
      <w:suff w:val="tab"/>
    </w:lvl>
    <w:lvl w:ilvl="5">
      <w:isLgl w:val="false"/>
      <w:lvlJc w:val="left"/>
      <w:lvlText w:val=""/>
      <w:numFmt w:val="bullet"/>
      <w:pPr>
        <w:pBdr/>
        <w:tabs>
          <w:tab w:val="num" w:leader="none" w:pos="4320"/>
        </w:tabs>
        <w:spacing/>
        <w:ind w:hanging="360" w:left="4320"/>
      </w:pPr>
      <w:rPr>
        <w:rFonts w:hint="default" w:ascii="Wingdings" w:hAnsi="Wingdings"/>
        <w:sz w:val="20"/>
      </w:rPr>
      <w:start w:val="1"/>
      <w:suff w:val="tab"/>
    </w:lvl>
    <w:lvl w:ilvl="6">
      <w:isLgl w:val="false"/>
      <w:lvlJc w:val="left"/>
      <w:lvlText w:val=""/>
      <w:numFmt w:val="bullet"/>
      <w:pPr>
        <w:pBdr/>
        <w:tabs>
          <w:tab w:val="num" w:leader="none" w:pos="5040"/>
        </w:tabs>
        <w:spacing/>
        <w:ind w:hanging="360" w:left="5040"/>
      </w:pPr>
      <w:rPr>
        <w:rFonts w:hint="default" w:ascii="Wingdings" w:hAnsi="Wingdings"/>
        <w:sz w:val="20"/>
      </w:rPr>
      <w:start w:val="1"/>
      <w:suff w:val="tab"/>
    </w:lvl>
    <w:lvl w:ilvl="7">
      <w:isLgl w:val="false"/>
      <w:lvlJc w:val="left"/>
      <w:lvlText w:val=""/>
      <w:numFmt w:val="bullet"/>
      <w:pPr>
        <w:pBdr/>
        <w:tabs>
          <w:tab w:val="num" w:leader="none" w:pos="5760"/>
        </w:tabs>
        <w:spacing/>
        <w:ind w:hanging="360" w:left="5760"/>
      </w:pPr>
      <w:rPr>
        <w:rFonts w:hint="default" w:ascii="Wingdings" w:hAnsi="Wingdings"/>
        <w:sz w:val="20"/>
      </w:rPr>
      <w:start w:val="1"/>
      <w:suff w:val="tab"/>
    </w:lvl>
    <w:lvl w:ilvl="8">
      <w:isLgl w:val="false"/>
      <w:lvlJc w:val="left"/>
      <w:lvlText w:val=""/>
      <w:numFmt w:val="bullet"/>
      <w:pPr>
        <w:pBdr/>
        <w:tabs>
          <w:tab w:val="num" w:leader="none" w:pos="6480"/>
        </w:tabs>
        <w:spacing/>
        <w:ind w:hanging="360" w:left="6480"/>
      </w:pPr>
      <w:rPr>
        <w:rFonts w:hint="default" w:ascii="Wingdings" w:hAnsi="Wingdings"/>
        <w:sz w:val="20"/>
      </w:rPr>
      <w:start w:val="1"/>
      <w:suff w:val="tab"/>
    </w:lvl>
  </w:abstractNum>
  <w:abstractNum w:abstractNumId="11">
    <w:nsid w:val="4B054CF4"/>
    <w:lvl w:ilvl="0">
      <w:isLgl w:val="false"/>
      <w:lvlJc w:val="left"/>
      <w:lvlText w:val="%1-"/>
      <w:numFmt w:val="decimalZero"/>
      <w:pPr>
        <w:pBdr/>
        <w:spacing/>
        <w:ind w:hanging="360" w:left="502"/>
      </w:pPr>
      <w:rPr>
        <w:rFonts w:ascii="Calibri" w:hAnsi="Calibri" w:eastAsia="Calibri" w:cs="Times New Roman"/>
      </w:rPr>
      <w:start w:val="1"/>
      <w:suff w:val="tab"/>
    </w:lvl>
    <w:lvl w:ilvl="1">
      <w:isLgl w:val="false"/>
      <w:lvlJc w:val="left"/>
      <w:lvlText w:val="o"/>
      <w:numFmt w:val="bullet"/>
      <w:pPr>
        <w:pBdr/>
        <w:spacing/>
        <w:ind w:hanging="360" w:left="1222"/>
      </w:pPr>
      <w:rPr>
        <w:rFonts w:hint="default" w:ascii="Courier New" w:hAnsi="Courier New" w:cs="Courier New"/>
      </w:rPr>
      <w:start w:val="1"/>
      <w:suff w:val="tab"/>
    </w:lvl>
    <w:lvl w:ilvl="2">
      <w:isLgl w:val="false"/>
      <w:lvlJc w:val="left"/>
      <w:lvlText w:val=""/>
      <w:numFmt w:val="bullet"/>
      <w:pPr>
        <w:pBdr/>
        <w:spacing/>
        <w:ind w:hanging="360" w:left="1942"/>
      </w:pPr>
      <w:rPr>
        <w:rFonts w:hint="default" w:ascii="Wingdings" w:hAnsi="Wingdings"/>
      </w:rPr>
      <w:start w:val="1"/>
      <w:suff w:val="tab"/>
    </w:lvl>
    <w:lvl w:ilvl="3">
      <w:isLgl w:val="false"/>
      <w:lvlJc w:val="left"/>
      <w:lvlText w:val=""/>
      <w:numFmt w:val="bullet"/>
      <w:pPr>
        <w:pBdr/>
        <w:spacing/>
        <w:ind w:hanging="360" w:left="2662"/>
      </w:pPr>
      <w:rPr>
        <w:rFonts w:hint="default" w:ascii="Symbol" w:hAnsi="Symbol"/>
      </w:rPr>
      <w:start w:val="1"/>
      <w:suff w:val="tab"/>
    </w:lvl>
    <w:lvl w:ilvl="4">
      <w:isLgl w:val="false"/>
      <w:lvlJc w:val="left"/>
      <w:lvlText w:val="o"/>
      <w:numFmt w:val="bullet"/>
      <w:pPr>
        <w:pBdr/>
        <w:spacing/>
        <w:ind w:hanging="360" w:left="3382"/>
      </w:pPr>
      <w:rPr>
        <w:rFonts w:hint="default" w:ascii="Courier New" w:hAnsi="Courier New" w:cs="Courier New"/>
      </w:rPr>
      <w:start w:val="1"/>
      <w:suff w:val="tab"/>
    </w:lvl>
    <w:lvl w:ilvl="5">
      <w:isLgl w:val="false"/>
      <w:lvlJc w:val="left"/>
      <w:lvlText w:val=""/>
      <w:numFmt w:val="bullet"/>
      <w:pPr>
        <w:pBdr/>
        <w:spacing/>
        <w:ind w:hanging="360" w:left="4102"/>
      </w:pPr>
      <w:rPr>
        <w:rFonts w:hint="default" w:ascii="Wingdings" w:hAnsi="Wingdings"/>
      </w:rPr>
      <w:start w:val="1"/>
      <w:suff w:val="tab"/>
    </w:lvl>
    <w:lvl w:ilvl="6">
      <w:isLgl w:val="false"/>
      <w:lvlJc w:val="left"/>
      <w:lvlText w:val=""/>
      <w:numFmt w:val="bullet"/>
      <w:pPr>
        <w:pBdr/>
        <w:spacing/>
        <w:ind w:hanging="360" w:left="4822"/>
      </w:pPr>
      <w:rPr>
        <w:rFonts w:hint="default" w:ascii="Symbol" w:hAnsi="Symbol"/>
      </w:rPr>
      <w:start w:val="1"/>
      <w:suff w:val="tab"/>
    </w:lvl>
    <w:lvl w:ilvl="7">
      <w:isLgl w:val="false"/>
      <w:lvlJc w:val="left"/>
      <w:lvlText w:val="o"/>
      <w:numFmt w:val="bullet"/>
      <w:pPr>
        <w:pBdr/>
        <w:spacing/>
        <w:ind w:hanging="360" w:left="5542"/>
      </w:pPr>
      <w:rPr>
        <w:rFonts w:hint="default" w:ascii="Courier New" w:hAnsi="Courier New" w:cs="Courier New"/>
      </w:rPr>
      <w:start w:val="1"/>
      <w:suff w:val="tab"/>
    </w:lvl>
    <w:lvl w:ilvl="8">
      <w:isLgl w:val="false"/>
      <w:lvlJc w:val="left"/>
      <w:lvlText w:val=""/>
      <w:numFmt w:val="bullet"/>
      <w:pPr>
        <w:pBdr/>
        <w:spacing/>
        <w:ind w:hanging="360" w:left="6262"/>
      </w:pPr>
      <w:rPr>
        <w:rFonts w:hint="default" w:ascii="Wingdings" w:hAnsi="Wingdings"/>
      </w:rPr>
      <w:start w:val="1"/>
      <w:suff w:val="tab"/>
    </w:lvl>
  </w:abstractNum>
  <w:abstractNum w:abstractNumId="12">
    <w:nsid w:val="4EAC5105"/>
    <w:lvl w:ilvl="0">
      <w:isLgl w:val="false"/>
      <w:lvlJc w:val="left"/>
      <w:lvlText w:val=""/>
      <w:numFmt w:val="bullet"/>
      <w:pPr>
        <w:pBdr/>
        <w:tabs>
          <w:tab w:val="num" w:leader="none" w:pos="720"/>
        </w:tabs>
        <w:spacing/>
        <w:ind w:hanging="360" w:left="720"/>
      </w:pPr>
      <w:rPr>
        <w:rFonts w:hint="default" w:ascii="Symbol" w:hAnsi="Symbol"/>
        <w:sz w:val="20"/>
      </w:rPr>
      <w:start w:val="1"/>
      <w:suff w:val="tab"/>
    </w:lvl>
    <w:lvl w:ilvl="1">
      <w:isLgl w:val="false"/>
      <w:lvlJc w:val="left"/>
      <w:lvlText w:val="o"/>
      <w:numFmt w:val="bullet"/>
      <w:pPr>
        <w:pBdr/>
        <w:tabs>
          <w:tab w:val="num" w:leader="none" w:pos="1440"/>
        </w:tabs>
        <w:spacing/>
        <w:ind w:hanging="360" w:left="1440"/>
      </w:pPr>
      <w:rPr>
        <w:rFonts w:hint="default" w:ascii="Courier New" w:hAnsi="Courier New"/>
        <w:sz w:val="20"/>
      </w:rPr>
      <w:start w:val="1"/>
      <w:suff w:val="tab"/>
    </w:lvl>
    <w:lvl w:ilvl="2">
      <w:isLgl w:val="false"/>
      <w:lvlJc w:val="left"/>
      <w:lvlText w:val=""/>
      <w:numFmt w:val="bullet"/>
      <w:pPr>
        <w:pBdr/>
        <w:tabs>
          <w:tab w:val="num" w:leader="none" w:pos="2160"/>
        </w:tabs>
        <w:spacing/>
        <w:ind w:hanging="360" w:left="2160"/>
      </w:pPr>
      <w:rPr>
        <w:rFonts w:hint="default" w:ascii="Wingdings" w:hAnsi="Wingdings"/>
        <w:sz w:val="20"/>
      </w:rPr>
      <w:start w:val="1"/>
      <w:suff w:val="tab"/>
    </w:lvl>
    <w:lvl w:ilvl="3">
      <w:isLgl w:val="false"/>
      <w:lvlJc w:val="left"/>
      <w:lvlText w:val=""/>
      <w:numFmt w:val="bullet"/>
      <w:pPr>
        <w:pBdr/>
        <w:tabs>
          <w:tab w:val="num" w:leader="none" w:pos="2880"/>
        </w:tabs>
        <w:spacing/>
        <w:ind w:hanging="360" w:left="2880"/>
      </w:pPr>
      <w:rPr>
        <w:rFonts w:hint="default" w:ascii="Wingdings" w:hAnsi="Wingdings"/>
        <w:sz w:val="20"/>
      </w:rPr>
      <w:start w:val="1"/>
      <w:suff w:val="tab"/>
    </w:lvl>
    <w:lvl w:ilvl="4">
      <w:isLgl w:val="false"/>
      <w:lvlJc w:val="left"/>
      <w:lvlText w:val=""/>
      <w:numFmt w:val="bullet"/>
      <w:pPr>
        <w:pBdr/>
        <w:tabs>
          <w:tab w:val="num" w:leader="none" w:pos="3600"/>
        </w:tabs>
        <w:spacing/>
        <w:ind w:hanging="360" w:left="3600"/>
      </w:pPr>
      <w:rPr>
        <w:rFonts w:hint="default" w:ascii="Wingdings" w:hAnsi="Wingdings"/>
        <w:sz w:val="20"/>
      </w:rPr>
      <w:start w:val="1"/>
      <w:suff w:val="tab"/>
    </w:lvl>
    <w:lvl w:ilvl="5">
      <w:isLgl w:val="false"/>
      <w:lvlJc w:val="left"/>
      <w:lvlText w:val=""/>
      <w:numFmt w:val="bullet"/>
      <w:pPr>
        <w:pBdr/>
        <w:tabs>
          <w:tab w:val="num" w:leader="none" w:pos="4320"/>
        </w:tabs>
        <w:spacing/>
        <w:ind w:hanging="360" w:left="4320"/>
      </w:pPr>
      <w:rPr>
        <w:rFonts w:hint="default" w:ascii="Wingdings" w:hAnsi="Wingdings"/>
        <w:sz w:val="20"/>
      </w:rPr>
      <w:start w:val="1"/>
      <w:suff w:val="tab"/>
    </w:lvl>
    <w:lvl w:ilvl="6">
      <w:isLgl w:val="false"/>
      <w:lvlJc w:val="left"/>
      <w:lvlText w:val=""/>
      <w:numFmt w:val="bullet"/>
      <w:pPr>
        <w:pBdr/>
        <w:tabs>
          <w:tab w:val="num" w:leader="none" w:pos="5040"/>
        </w:tabs>
        <w:spacing/>
        <w:ind w:hanging="360" w:left="5040"/>
      </w:pPr>
      <w:rPr>
        <w:rFonts w:hint="default" w:ascii="Wingdings" w:hAnsi="Wingdings"/>
        <w:sz w:val="20"/>
      </w:rPr>
      <w:start w:val="1"/>
      <w:suff w:val="tab"/>
    </w:lvl>
    <w:lvl w:ilvl="7">
      <w:isLgl w:val="false"/>
      <w:lvlJc w:val="left"/>
      <w:lvlText w:val=""/>
      <w:numFmt w:val="bullet"/>
      <w:pPr>
        <w:pBdr/>
        <w:tabs>
          <w:tab w:val="num" w:leader="none" w:pos="5760"/>
        </w:tabs>
        <w:spacing/>
        <w:ind w:hanging="360" w:left="5760"/>
      </w:pPr>
      <w:rPr>
        <w:rFonts w:hint="default" w:ascii="Wingdings" w:hAnsi="Wingdings"/>
        <w:sz w:val="20"/>
      </w:rPr>
      <w:start w:val="1"/>
      <w:suff w:val="tab"/>
    </w:lvl>
    <w:lvl w:ilvl="8">
      <w:isLgl w:val="false"/>
      <w:lvlJc w:val="left"/>
      <w:lvlText w:val=""/>
      <w:numFmt w:val="bullet"/>
      <w:pPr>
        <w:pBdr/>
        <w:tabs>
          <w:tab w:val="num" w:leader="none" w:pos="6480"/>
        </w:tabs>
        <w:spacing/>
        <w:ind w:hanging="360" w:left="6480"/>
      </w:pPr>
      <w:rPr>
        <w:rFonts w:hint="default" w:ascii="Wingdings" w:hAnsi="Wingdings"/>
        <w:sz w:val="20"/>
      </w:rPr>
      <w:start w:val="1"/>
      <w:suff w:val="tab"/>
    </w:lvl>
  </w:abstractNum>
  <w:abstractNum w:abstractNumId="13">
    <w:nsid w:val="525552C4"/>
    <w:lvl w:ilvl="0">
      <w:isLgl w:val="false"/>
      <w:lvlJc w:val="left"/>
      <w:lvlText w:val="%1"/>
      <w:numFmt w:val="decimal"/>
      <w:pPr>
        <w:pBdr/>
        <w:spacing/>
        <w:ind w:hanging="360" w:left="360"/>
      </w:pPr>
      <w:rPr>
        <w:rFonts w:hint="default"/>
      </w:rPr>
      <w:start w:val="2"/>
      <w:suff w:val="tab"/>
    </w:lvl>
    <w:lvl w:ilvl="1">
      <w:isLgl w:val="false"/>
      <w:lvlJc w:val="left"/>
      <w:lvlText w:val="%1.%2"/>
      <w:numFmt w:val="decimal"/>
      <w:pPr>
        <w:pBdr/>
        <w:spacing/>
        <w:ind w:hanging="360" w:left="360"/>
      </w:pPr>
      <w:rPr>
        <w:rFonts w:hint="default"/>
      </w:rPr>
      <w:start w:val="2"/>
      <w:suff w:val="tab"/>
    </w:lvl>
    <w:lvl w:ilvl="2">
      <w:isLgl w:val="false"/>
      <w:lvlJc w:val="left"/>
      <w:lvlText w:val="%1.%2.%3"/>
      <w:numFmt w:val="decimal"/>
      <w:pPr>
        <w:pBdr/>
        <w:spacing/>
        <w:ind w:hanging="720" w:left="720"/>
      </w:pPr>
      <w:rPr>
        <w:rFonts w:hint="default"/>
      </w:rPr>
      <w:start w:val="1"/>
      <w:suff w:val="tab"/>
    </w:lvl>
    <w:lvl w:ilvl="3">
      <w:isLgl w:val="false"/>
      <w:lvlJc w:val="left"/>
      <w:lvlText w:val="%1.%2.%3.%4"/>
      <w:numFmt w:val="decimal"/>
      <w:pPr>
        <w:pBdr/>
        <w:spacing/>
        <w:ind w:hanging="720" w:left="720"/>
      </w:pPr>
      <w:rPr>
        <w:rFonts w:hint="default"/>
      </w:rPr>
      <w:start w:val="1"/>
      <w:suff w:val="tab"/>
    </w:lvl>
    <w:lvl w:ilvl="4">
      <w:isLgl w:val="false"/>
      <w:lvlJc w:val="left"/>
      <w:lvlText w:val="%1.%2.%3.%4.%5"/>
      <w:numFmt w:val="decimal"/>
      <w:pPr>
        <w:pBdr/>
        <w:spacing/>
        <w:ind w:hanging="1080" w:left="1080"/>
      </w:pPr>
      <w:rPr>
        <w:rFonts w:hint="default"/>
      </w:rPr>
      <w:start w:val="1"/>
      <w:suff w:val="tab"/>
    </w:lvl>
    <w:lvl w:ilvl="5">
      <w:isLgl w:val="false"/>
      <w:lvlJc w:val="left"/>
      <w:lvlText w:val="%1.%2.%3.%4.%5.%6"/>
      <w:numFmt w:val="decimal"/>
      <w:pPr>
        <w:pBdr/>
        <w:spacing/>
        <w:ind w:hanging="1080" w:left="1080"/>
      </w:pPr>
      <w:rPr>
        <w:rFonts w:hint="default"/>
      </w:rPr>
      <w:start w:val="1"/>
      <w:suff w:val="tab"/>
    </w:lvl>
    <w:lvl w:ilvl="6">
      <w:isLgl w:val="false"/>
      <w:lvlJc w:val="left"/>
      <w:lvlText w:val="%1.%2.%3.%4.%5.%6.%7"/>
      <w:numFmt w:val="decimal"/>
      <w:pPr>
        <w:pBdr/>
        <w:spacing/>
        <w:ind w:hanging="1440" w:left="1440"/>
      </w:pPr>
      <w:rPr>
        <w:rFonts w:hint="default"/>
      </w:rPr>
      <w:start w:val="1"/>
      <w:suff w:val="tab"/>
    </w:lvl>
    <w:lvl w:ilvl="7">
      <w:isLgl w:val="false"/>
      <w:lvlJc w:val="left"/>
      <w:lvlText w:val="%1.%2.%3.%4.%5.%6.%7.%8"/>
      <w:numFmt w:val="decimal"/>
      <w:pPr>
        <w:pBdr/>
        <w:spacing/>
        <w:ind w:hanging="1440" w:left="1440"/>
      </w:pPr>
      <w:rPr>
        <w:rFonts w:hint="default"/>
      </w:rPr>
      <w:start w:val="1"/>
      <w:suff w:val="tab"/>
    </w:lvl>
    <w:lvl w:ilvl="8">
      <w:isLgl w:val="false"/>
      <w:lvlJc w:val="left"/>
      <w:lvlText w:val="%1.%2.%3.%4.%5.%6.%7.%8.%9"/>
      <w:numFmt w:val="decimal"/>
      <w:pPr>
        <w:pBdr/>
        <w:spacing/>
        <w:ind w:hanging="1440" w:left="1440"/>
      </w:pPr>
      <w:rPr>
        <w:rFonts w:hint="default"/>
      </w:rPr>
      <w:start w:val="1"/>
      <w:suff w:val="tab"/>
    </w:lvl>
  </w:abstractNum>
  <w:abstractNum w:abstractNumId="14">
    <w:nsid w:val="5A536746"/>
    <w:lvl w:ilvl="0">
      <w:isLgl w:val="false"/>
      <w:lvlJc w:val="left"/>
      <w:lvlText w:val=""/>
      <w:numFmt w:val="bullet"/>
      <w:pPr>
        <w:pBdr/>
        <w:tabs>
          <w:tab w:val="num" w:leader="none" w:pos="720"/>
        </w:tabs>
        <w:spacing/>
        <w:ind w:hanging="360" w:left="720"/>
      </w:pPr>
      <w:rPr>
        <w:rFonts w:hint="default" w:ascii="Symbol" w:hAnsi="Symbol"/>
        <w:sz w:val="20"/>
      </w:rPr>
      <w:start w:val="1"/>
      <w:suff w:val="tab"/>
    </w:lvl>
    <w:lvl w:ilvl="1">
      <w:isLgl w:val="false"/>
      <w:lvlJc w:val="left"/>
      <w:lvlText w:val="o"/>
      <w:numFmt w:val="bullet"/>
      <w:pPr>
        <w:pBdr/>
        <w:tabs>
          <w:tab w:val="num" w:leader="none" w:pos="1440"/>
        </w:tabs>
        <w:spacing/>
        <w:ind w:hanging="360" w:left="1440"/>
      </w:pPr>
      <w:rPr>
        <w:rFonts w:hint="default" w:ascii="Courier New" w:hAnsi="Courier New"/>
        <w:sz w:val="20"/>
      </w:rPr>
      <w:start w:val="1"/>
      <w:suff w:val="tab"/>
    </w:lvl>
    <w:lvl w:ilvl="2">
      <w:isLgl w:val="false"/>
      <w:lvlJc w:val="left"/>
      <w:lvlText w:val=""/>
      <w:numFmt w:val="bullet"/>
      <w:pPr>
        <w:pBdr/>
        <w:tabs>
          <w:tab w:val="num" w:leader="none" w:pos="2160"/>
        </w:tabs>
        <w:spacing/>
        <w:ind w:hanging="360" w:left="2160"/>
      </w:pPr>
      <w:rPr>
        <w:rFonts w:hint="default" w:ascii="Wingdings" w:hAnsi="Wingdings"/>
        <w:sz w:val="20"/>
      </w:rPr>
      <w:start w:val="1"/>
      <w:suff w:val="tab"/>
    </w:lvl>
    <w:lvl w:ilvl="3">
      <w:isLgl w:val="false"/>
      <w:lvlJc w:val="left"/>
      <w:lvlText w:val=""/>
      <w:numFmt w:val="bullet"/>
      <w:pPr>
        <w:pBdr/>
        <w:tabs>
          <w:tab w:val="num" w:leader="none" w:pos="2880"/>
        </w:tabs>
        <w:spacing/>
        <w:ind w:hanging="360" w:left="2880"/>
      </w:pPr>
      <w:rPr>
        <w:rFonts w:hint="default" w:ascii="Wingdings" w:hAnsi="Wingdings"/>
        <w:sz w:val="20"/>
      </w:rPr>
      <w:start w:val="1"/>
      <w:suff w:val="tab"/>
    </w:lvl>
    <w:lvl w:ilvl="4">
      <w:isLgl w:val="false"/>
      <w:lvlJc w:val="left"/>
      <w:lvlText w:val=""/>
      <w:numFmt w:val="bullet"/>
      <w:pPr>
        <w:pBdr/>
        <w:tabs>
          <w:tab w:val="num" w:leader="none" w:pos="3600"/>
        </w:tabs>
        <w:spacing/>
        <w:ind w:hanging="360" w:left="3600"/>
      </w:pPr>
      <w:rPr>
        <w:rFonts w:hint="default" w:ascii="Wingdings" w:hAnsi="Wingdings"/>
        <w:sz w:val="20"/>
      </w:rPr>
      <w:start w:val="1"/>
      <w:suff w:val="tab"/>
    </w:lvl>
    <w:lvl w:ilvl="5">
      <w:isLgl w:val="false"/>
      <w:lvlJc w:val="left"/>
      <w:lvlText w:val=""/>
      <w:numFmt w:val="bullet"/>
      <w:pPr>
        <w:pBdr/>
        <w:tabs>
          <w:tab w:val="num" w:leader="none" w:pos="4320"/>
        </w:tabs>
        <w:spacing/>
        <w:ind w:hanging="360" w:left="4320"/>
      </w:pPr>
      <w:rPr>
        <w:rFonts w:hint="default" w:ascii="Wingdings" w:hAnsi="Wingdings"/>
        <w:sz w:val="20"/>
      </w:rPr>
      <w:start w:val="1"/>
      <w:suff w:val="tab"/>
    </w:lvl>
    <w:lvl w:ilvl="6">
      <w:isLgl w:val="false"/>
      <w:lvlJc w:val="left"/>
      <w:lvlText w:val=""/>
      <w:numFmt w:val="bullet"/>
      <w:pPr>
        <w:pBdr/>
        <w:tabs>
          <w:tab w:val="num" w:leader="none" w:pos="5040"/>
        </w:tabs>
        <w:spacing/>
        <w:ind w:hanging="360" w:left="5040"/>
      </w:pPr>
      <w:rPr>
        <w:rFonts w:hint="default" w:ascii="Wingdings" w:hAnsi="Wingdings"/>
        <w:sz w:val="20"/>
      </w:rPr>
      <w:start w:val="1"/>
      <w:suff w:val="tab"/>
    </w:lvl>
    <w:lvl w:ilvl="7">
      <w:isLgl w:val="false"/>
      <w:lvlJc w:val="left"/>
      <w:lvlText w:val=""/>
      <w:numFmt w:val="bullet"/>
      <w:pPr>
        <w:pBdr/>
        <w:tabs>
          <w:tab w:val="num" w:leader="none" w:pos="5760"/>
        </w:tabs>
        <w:spacing/>
        <w:ind w:hanging="360" w:left="5760"/>
      </w:pPr>
      <w:rPr>
        <w:rFonts w:hint="default" w:ascii="Wingdings" w:hAnsi="Wingdings"/>
        <w:sz w:val="20"/>
      </w:rPr>
      <w:start w:val="1"/>
      <w:suff w:val="tab"/>
    </w:lvl>
    <w:lvl w:ilvl="8">
      <w:isLgl w:val="false"/>
      <w:lvlJc w:val="left"/>
      <w:lvlText w:val=""/>
      <w:numFmt w:val="bullet"/>
      <w:pPr>
        <w:pBdr/>
        <w:tabs>
          <w:tab w:val="num" w:leader="none" w:pos="6480"/>
        </w:tabs>
        <w:spacing/>
        <w:ind w:hanging="360" w:left="6480"/>
      </w:pPr>
      <w:rPr>
        <w:rFonts w:hint="default" w:ascii="Wingdings" w:hAnsi="Wingdings"/>
        <w:sz w:val="20"/>
      </w:rPr>
      <w:start w:val="1"/>
      <w:suff w:val="tab"/>
    </w:lvl>
  </w:abstractNum>
  <w:abstractNum w:abstractNumId="15">
    <w:nsid w:val="5D31639F"/>
    <w:lvl w:ilvl="0">
      <w:isLgl w:val="false"/>
      <w:lvlJc w:val="left"/>
      <w:lvlText w:val=""/>
      <w:numFmt w:val="bullet"/>
      <w:pPr>
        <w:pBdr/>
        <w:tabs>
          <w:tab w:val="num" w:leader="none" w:pos="720"/>
        </w:tabs>
        <w:spacing/>
        <w:ind w:hanging="360" w:left="720"/>
      </w:pPr>
      <w:rPr>
        <w:rFonts w:hint="default" w:ascii="Symbol" w:hAnsi="Symbol"/>
        <w:sz w:val="20"/>
      </w:rPr>
      <w:start w:val="1"/>
      <w:suff w:val="tab"/>
    </w:lvl>
    <w:lvl w:ilvl="1">
      <w:isLgl w:val="false"/>
      <w:lvlJc w:val="left"/>
      <w:lvlText w:val="o"/>
      <w:numFmt w:val="bullet"/>
      <w:pPr>
        <w:pBdr/>
        <w:tabs>
          <w:tab w:val="num" w:leader="none" w:pos="1440"/>
        </w:tabs>
        <w:spacing/>
        <w:ind w:hanging="360" w:left="1440"/>
      </w:pPr>
      <w:rPr>
        <w:rFonts w:hint="default" w:ascii="Courier New" w:hAnsi="Courier New"/>
        <w:sz w:val="20"/>
      </w:rPr>
      <w:start w:val="1"/>
      <w:suff w:val="tab"/>
    </w:lvl>
    <w:lvl w:ilvl="2">
      <w:isLgl w:val="false"/>
      <w:lvlJc w:val="left"/>
      <w:lvlText w:val=""/>
      <w:numFmt w:val="bullet"/>
      <w:pPr>
        <w:pBdr/>
        <w:tabs>
          <w:tab w:val="num" w:leader="none" w:pos="2160"/>
        </w:tabs>
        <w:spacing/>
        <w:ind w:hanging="360" w:left="2160"/>
      </w:pPr>
      <w:rPr>
        <w:rFonts w:hint="default" w:ascii="Wingdings" w:hAnsi="Wingdings"/>
        <w:sz w:val="20"/>
      </w:rPr>
      <w:start w:val="1"/>
      <w:suff w:val="tab"/>
    </w:lvl>
    <w:lvl w:ilvl="3">
      <w:isLgl w:val="false"/>
      <w:lvlJc w:val="left"/>
      <w:lvlText w:val=""/>
      <w:numFmt w:val="bullet"/>
      <w:pPr>
        <w:pBdr/>
        <w:tabs>
          <w:tab w:val="num" w:leader="none" w:pos="2880"/>
        </w:tabs>
        <w:spacing/>
        <w:ind w:hanging="360" w:left="2880"/>
      </w:pPr>
      <w:rPr>
        <w:rFonts w:hint="default" w:ascii="Wingdings" w:hAnsi="Wingdings"/>
        <w:sz w:val="20"/>
      </w:rPr>
      <w:start w:val="1"/>
      <w:suff w:val="tab"/>
    </w:lvl>
    <w:lvl w:ilvl="4">
      <w:isLgl w:val="false"/>
      <w:lvlJc w:val="left"/>
      <w:lvlText w:val=""/>
      <w:numFmt w:val="bullet"/>
      <w:pPr>
        <w:pBdr/>
        <w:tabs>
          <w:tab w:val="num" w:leader="none" w:pos="3600"/>
        </w:tabs>
        <w:spacing/>
        <w:ind w:hanging="360" w:left="3600"/>
      </w:pPr>
      <w:rPr>
        <w:rFonts w:hint="default" w:ascii="Wingdings" w:hAnsi="Wingdings"/>
        <w:sz w:val="20"/>
      </w:rPr>
      <w:start w:val="1"/>
      <w:suff w:val="tab"/>
    </w:lvl>
    <w:lvl w:ilvl="5">
      <w:isLgl w:val="false"/>
      <w:lvlJc w:val="left"/>
      <w:lvlText w:val=""/>
      <w:numFmt w:val="bullet"/>
      <w:pPr>
        <w:pBdr/>
        <w:tabs>
          <w:tab w:val="num" w:leader="none" w:pos="4320"/>
        </w:tabs>
        <w:spacing/>
        <w:ind w:hanging="360" w:left="4320"/>
      </w:pPr>
      <w:rPr>
        <w:rFonts w:hint="default" w:ascii="Wingdings" w:hAnsi="Wingdings"/>
        <w:sz w:val="20"/>
      </w:rPr>
      <w:start w:val="1"/>
      <w:suff w:val="tab"/>
    </w:lvl>
    <w:lvl w:ilvl="6">
      <w:isLgl w:val="false"/>
      <w:lvlJc w:val="left"/>
      <w:lvlText w:val=""/>
      <w:numFmt w:val="bullet"/>
      <w:pPr>
        <w:pBdr/>
        <w:tabs>
          <w:tab w:val="num" w:leader="none" w:pos="5040"/>
        </w:tabs>
        <w:spacing/>
        <w:ind w:hanging="360" w:left="5040"/>
      </w:pPr>
      <w:rPr>
        <w:rFonts w:hint="default" w:ascii="Wingdings" w:hAnsi="Wingdings"/>
        <w:sz w:val="20"/>
      </w:rPr>
      <w:start w:val="1"/>
      <w:suff w:val="tab"/>
    </w:lvl>
    <w:lvl w:ilvl="7">
      <w:isLgl w:val="false"/>
      <w:lvlJc w:val="left"/>
      <w:lvlText w:val=""/>
      <w:numFmt w:val="bullet"/>
      <w:pPr>
        <w:pBdr/>
        <w:tabs>
          <w:tab w:val="num" w:leader="none" w:pos="5760"/>
        </w:tabs>
        <w:spacing/>
        <w:ind w:hanging="360" w:left="5760"/>
      </w:pPr>
      <w:rPr>
        <w:rFonts w:hint="default" w:ascii="Wingdings" w:hAnsi="Wingdings"/>
        <w:sz w:val="20"/>
      </w:rPr>
      <w:start w:val="1"/>
      <w:suff w:val="tab"/>
    </w:lvl>
    <w:lvl w:ilvl="8">
      <w:isLgl w:val="false"/>
      <w:lvlJc w:val="left"/>
      <w:lvlText w:val=""/>
      <w:numFmt w:val="bullet"/>
      <w:pPr>
        <w:pBdr/>
        <w:tabs>
          <w:tab w:val="num" w:leader="none" w:pos="6480"/>
        </w:tabs>
        <w:spacing/>
        <w:ind w:hanging="360" w:left="6480"/>
      </w:pPr>
      <w:rPr>
        <w:rFonts w:hint="default" w:ascii="Wingdings" w:hAnsi="Wingdings"/>
        <w:sz w:val="20"/>
      </w:rPr>
      <w:start w:val="1"/>
      <w:suff w:val="tab"/>
    </w:lvl>
  </w:abstractNum>
  <w:abstractNum w:abstractNumId="16">
    <w:nsid w:val="5FDB18C9"/>
    <w:lvl w:ilvl="0">
      <w:isLgl w:val="false"/>
      <w:lvlJc w:val="left"/>
      <w:lvlText w:val="%1."/>
      <w:numFmt w:val="decimal"/>
      <w:pPr>
        <w:pBdr/>
        <w:spacing/>
        <w:ind w:hanging="360" w:left="720"/>
      </w:pPr>
      <w:rPr>
        <w:rFonts w:hint="default" w:eastAsiaTheme="majorEastAsia"/>
        <w:b/>
      </w:rPr>
      <w:start w:val="1"/>
      <w:suff w:val="tab"/>
    </w:lvl>
    <w:lvl w:ilvl="1">
      <w:isLgl w:val="false"/>
      <w:lvlJc w:val="left"/>
      <w:lvlText w:val="•"/>
      <w:numFmt w:val="bullet"/>
      <w:pPr>
        <w:pBdr/>
        <w:spacing/>
        <w:ind w:hanging="360" w:left="1440"/>
      </w:pPr>
      <w:rPr>
        <w:rFonts w:hint="default" w:ascii="Arial" w:hAnsi="Arial" w:cs="Arial" w:eastAsiaTheme="minorHAnsi"/>
      </w:rPr>
      <w:start w:val="0"/>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7">
    <w:nsid w:val="674F16A7"/>
    <w:lvl w:ilvl="0">
      <w:isLgl w:val="false"/>
      <w:lvlJc w:val="left"/>
      <w:lvlText w:val="%1"/>
      <w:numFmt w:val="decimal"/>
      <w:pPr>
        <w:pBdr/>
        <w:spacing/>
        <w:ind w:hanging="360" w:left="360"/>
      </w:pPr>
      <w:rPr>
        <w:rFonts w:hint="default"/>
      </w:rPr>
      <w:start w:val="1"/>
      <w:suff w:val="tab"/>
    </w:lvl>
    <w:lvl w:ilvl="1">
      <w:isLgl w:val="false"/>
      <w:lvlJc w:val="left"/>
      <w:lvlText w:val="%1.%2"/>
      <w:numFmt w:val="decimal"/>
      <w:pPr>
        <w:pBdr/>
        <w:spacing/>
        <w:ind w:hanging="360" w:left="780"/>
      </w:pPr>
      <w:rPr>
        <w:rFonts w:hint="default"/>
      </w:rPr>
      <w:start w:val="1"/>
      <w:suff w:val="tab"/>
    </w:lvl>
    <w:lvl w:ilvl="2">
      <w:isLgl w:val="false"/>
      <w:lvlJc w:val="left"/>
      <w:lvlText w:val="%1.%2.%3"/>
      <w:numFmt w:val="decimal"/>
      <w:pPr>
        <w:pBdr/>
        <w:spacing/>
        <w:ind w:hanging="720" w:left="1560"/>
      </w:pPr>
      <w:rPr>
        <w:rFonts w:hint="default"/>
      </w:rPr>
      <w:start w:val="1"/>
      <w:suff w:val="tab"/>
    </w:lvl>
    <w:lvl w:ilvl="3">
      <w:isLgl w:val="false"/>
      <w:lvlJc w:val="left"/>
      <w:lvlText w:val="%1.%2.%3.%4"/>
      <w:numFmt w:val="decimal"/>
      <w:pPr>
        <w:pBdr/>
        <w:spacing/>
        <w:ind w:hanging="720" w:left="1980"/>
      </w:pPr>
      <w:rPr>
        <w:rFonts w:hint="default"/>
      </w:rPr>
      <w:start w:val="1"/>
      <w:suff w:val="tab"/>
    </w:lvl>
    <w:lvl w:ilvl="4">
      <w:isLgl w:val="false"/>
      <w:lvlJc w:val="left"/>
      <w:lvlText w:val="%1.%2.%3.%4.%5"/>
      <w:numFmt w:val="decimal"/>
      <w:pPr>
        <w:pBdr/>
        <w:spacing/>
        <w:ind w:hanging="1080" w:left="2760"/>
      </w:pPr>
      <w:rPr>
        <w:rFonts w:hint="default"/>
      </w:rPr>
      <w:start w:val="1"/>
      <w:suff w:val="tab"/>
    </w:lvl>
    <w:lvl w:ilvl="5">
      <w:isLgl w:val="false"/>
      <w:lvlJc w:val="left"/>
      <w:lvlText w:val="%1.%2.%3.%4.%5.%6"/>
      <w:numFmt w:val="decimal"/>
      <w:pPr>
        <w:pBdr/>
        <w:spacing/>
        <w:ind w:hanging="1080" w:left="3180"/>
      </w:pPr>
      <w:rPr>
        <w:rFonts w:hint="default"/>
      </w:rPr>
      <w:start w:val="1"/>
      <w:suff w:val="tab"/>
    </w:lvl>
    <w:lvl w:ilvl="6">
      <w:isLgl w:val="false"/>
      <w:lvlJc w:val="left"/>
      <w:lvlText w:val="%1.%2.%3.%4.%5.%6.%7"/>
      <w:numFmt w:val="decimal"/>
      <w:pPr>
        <w:pBdr/>
        <w:spacing/>
        <w:ind w:hanging="1440" w:left="3960"/>
      </w:pPr>
      <w:rPr>
        <w:rFonts w:hint="default"/>
      </w:rPr>
      <w:start w:val="1"/>
      <w:suff w:val="tab"/>
    </w:lvl>
    <w:lvl w:ilvl="7">
      <w:isLgl w:val="false"/>
      <w:lvlJc w:val="left"/>
      <w:lvlText w:val="%1.%2.%3.%4.%5.%6.%7.%8"/>
      <w:numFmt w:val="decimal"/>
      <w:pPr>
        <w:pBdr/>
        <w:spacing/>
        <w:ind w:hanging="1440" w:left="4380"/>
      </w:pPr>
      <w:rPr>
        <w:rFonts w:hint="default"/>
      </w:rPr>
      <w:start w:val="1"/>
      <w:suff w:val="tab"/>
    </w:lvl>
    <w:lvl w:ilvl="8">
      <w:isLgl w:val="false"/>
      <w:lvlJc w:val="left"/>
      <w:lvlText w:val="%1.%2.%3.%4.%5.%6.%7.%8.%9"/>
      <w:numFmt w:val="decimal"/>
      <w:pPr>
        <w:pBdr/>
        <w:spacing/>
        <w:ind w:hanging="1800" w:left="5160"/>
      </w:pPr>
      <w:rPr>
        <w:rFonts w:hint="default"/>
      </w:rPr>
      <w:start w:val="1"/>
      <w:suff w:val="tab"/>
    </w:lvl>
  </w:abstractNum>
  <w:abstractNum w:abstractNumId="18">
    <w:nsid w:val="6E5C060B"/>
    <w:lvl w:ilvl="0">
      <w:isLgl w:val="false"/>
      <w:lvlJc w:val="left"/>
      <w:lvlText w:val=""/>
      <w:numFmt w:val="bullet"/>
      <w:pPr>
        <w:pBdr/>
        <w:spacing/>
        <w:ind w:hanging="360" w:left="1788"/>
      </w:pPr>
      <w:rPr>
        <w:rFonts w:hint="default" w:ascii="Symbol" w:hAnsi="Symbol"/>
      </w:rPr>
      <w:start w:val="1"/>
      <w:suff w:val="tab"/>
    </w:lvl>
    <w:lvl w:ilvl="1">
      <w:isLgl w:val="false"/>
      <w:lvlJc w:val="left"/>
      <w:lvlText w:val="o"/>
      <w:numFmt w:val="bullet"/>
      <w:pPr>
        <w:pBdr/>
        <w:spacing/>
        <w:ind w:hanging="360" w:left="2508"/>
      </w:pPr>
      <w:rPr>
        <w:rFonts w:hint="default" w:ascii="Courier New" w:hAnsi="Courier New" w:cs="Courier New"/>
      </w:rPr>
      <w:start w:val="1"/>
      <w:suff w:val="tab"/>
    </w:lvl>
    <w:lvl w:ilvl="2">
      <w:isLgl w:val="false"/>
      <w:lvlJc w:val="left"/>
      <w:lvlText w:val=""/>
      <w:numFmt w:val="bullet"/>
      <w:pPr>
        <w:pBdr/>
        <w:spacing/>
        <w:ind w:hanging="360" w:left="3228"/>
      </w:pPr>
      <w:rPr>
        <w:rFonts w:hint="default" w:ascii="Wingdings" w:hAnsi="Wingdings"/>
      </w:rPr>
      <w:start w:val="1"/>
      <w:suff w:val="tab"/>
    </w:lvl>
    <w:lvl w:ilvl="3">
      <w:isLgl w:val="false"/>
      <w:lvlJc w:val="left"/>
      <w:lvlText w:val=""/>
      <w:numFmt w:val="bullet"/>
      <w:pPr>
        <w:pBdr/>
        <w:spacing/>
        <w:ind w:hanging="360" w:left="3948"/>
      </w:pPr>
      <w:rPr>
        <w:rFonts w:hint="default" w:ascii="Symbol" w:hAnsi="Symbol"/>
      </w:rPr>
      <w:start w:val="1"/>
      <w:suff w:val="tab"/>
    </w:lvl>
    <w:lvl w:ilvl="4">
      <w:isLgl w:val="false"/>
      <w:lvlJc w:val="left"/>
      <w:lvlText w:val="o"/>
      <w:numFmt w:val="bullet"/>
      <w:pPr>
        <w:pBdr/>
        <w:spacing/>
        <w:ind w:hanging="360" w:left="4668"/>
      </w:pPr>
      <w:rPr>
        <w:rFonts w:hint="default" w:ascii="Courier New" w:hAnsi="Courier New" w:cs="Courier New"/>
      </w:rPr>
      <w:start w:val="1"/>
      <w:suff w:val="tab"/>
    </w:lvl>
    <w:lvl w:ilvl="5">
      <w:isLgl w:val="false"/>
      <w:lvlJc w:val="left"/>
      <w:lvlText w:val=""/>
      <w:numFmt w:val="bullet"/>
      <w:pPr>
        <w:pBdr/>
        <w:spacing/>
        <w:ind w:hanging="360" w:left="5388"/>
      </w:pPr>
      <w:rPr>
        <w:rFonts w:hint="default" w:ascii="Wingdings" w:hAnsi="Wingdings"/>
      </w:rPr>
      <w:start w:val="1"/>
      <w:suff w:val="tab"/>
    </w:lvl>
    <w:lvl w:ilvl="6">
      <w:isLgl w:val="false"/>
      <w:lvlJc w:val="left"/>
      <w:lvlText w:val=""/>
      <w:numFmt w:val="bullet"/>
      <w:pPr>
        <w:pBdr/>
        <w:spacing/>
        <w:ind w:hanging="360" w:left="6108"/>
      </w:pPr>
      <w:rPr>
        <w:rFonts w:hint="default" w:ascii="Symbol" w:hAnsi="Symbol"/>
      </w:rPr>
      <w:start w:val="1"/>
      <w:suff w:val="tab"/>
    </w:lvl>
    <w:lvl w:ilvl="7">
      <w:isLgl w:val="false"/>
      <w:lvlJc w:val="left"/>
      <w:lvlText w:val="o"/>
      <w:numFmt w:val="bullet"/>
      <w:pPr>
        <w:pBdr/>
        <w:spacing/>
        <w:ind w:hanging="360" w:left="6828"/>
      </w:pPr>
      <w:rPr>
        <w:rFonts w:hint="default" w:ascii="Courier New" w:hAnsi="Courier New" w:cs="Courier New"/>
      </w:rPr>
      <w:start w:val="1"/>
      <w:suff w:val="tab"/>
    </w:lvl>
    <w:lvl w:ilvl="8">
      <w:isLgl w:val="false"/>
      <w:lvlJc w:val="left"/>
      <w:lvlText w:val=""/>
      <w:numFmt w:val="bullet"/>
      <w:pPr>
        <w:pBdr/>
        <w:spacing/>
        <w:ind w:hanging="360" w:left="7548"/>
      </w:pPr>
      <w:rPr>
        <w:rFonts w:hint="default" w:ascii="Wingdings" w:hAnsi="Wingdings"/>
      </w:rPr>
      <w:start w:val="1"/>
      <w:suff w:val="tab"/>
    </w:lvl>
  </w:abstractNum>
  <w:abstractNum w:abstractNumId="19">
    <w:nsid w:val="70147DB1"/>
    <w:lvl w:ilvl="0">
      <w:isLgl w:val="false"/>
      <w:lvlJc w:val="left"/>
      <w:lvlText w:val="%1."/>
      <w:numFmt w:val="decimal"/>
      <w:pPr>
        <w:pBdr/>
        <w:spacing/>
        <w:ind w:hanging="360" w:left="720"/>
      </w:pPr>
      <w:rPr/>
      <w:start w:val="1"/>
      <w:suff w:val="tab"/>
    </w:lvl>
    <w:lvl w:ilvl="1">
      <w:isLgl w:val="true"/>
      <w:lvlJc w:val="left"/>
      <w:lvlText w:val="%1.%2."/>
      <w:numFmt w:val="decimal"/>
      <w:pPr>
        <w:pBdr/>
        <w:spacing/>
        <w:ind w:hanging="396" w:left="756"/>
      </w:pPr>
      <w:rPr>
        <w:rFonts w:hint="default"/>
      </w:rPr>
      <w:start w:val="1"/>
      <w:suff w:val="tab"/>
    </w:lvl>
    <w:lvl w:ilvl="2">
      <w:isLgl w:val="true"/>
      <w:lvlJc w:val="left"/>
      <w:lvlText w:val="%1.%2.%3."/>
      <w:numFmt w:val="decimal"/>
      <w:pPr>
        <w:pBdr/>
        <w:spacing/>
        <w:ind w:hanging="720" w:left="1080"/>
      </w:pPr>
      <w:rPr>
        <w:rFonts w:hint="default"/>
      </w:rPr>
      <w:start w:val="1"/>
      <w:suff w:val="tab"/>
    </w:lvl>
    <w:lvl w:ilvl="3">
      <w:isLgl w:val="true"/>
      <w:lvlJc w:val="left"/>
      <w:lvlText w:val="%1.%2.%3.%4."/>
      <w:numFmt w:val="decimal"/>
      <w:pPr>
        <w:pBdr/>
        <w:spacing/>
        <w:ind w:hanging="720" w:left="1080"/>
      </w:pPr>
      <w:rPr>
        <w:rFonts w:hint="default"/>
      </w:rPr>
      <w:start w:val="1"/>
      <w:suff w:val="tab"/>
    </w:lvl>
    <w:lvl w:ilvl="4">
      <w:isLgl w:val="true"/>
      <w:lvlJc w:val="left"/>
      <w:lvlText w:val="%1.%2.%3.%4.%5."/>
      <w:numFmt w:val="decimal"/>
      <w:pPr>
        <w:pBdr/>
        <w:spacing/>
        <w:ind w:hanging="1080" w:left="1440"/>
      </w:pPr>
      <w:rPr>
        <w:rFonts w:hint="default"/>
      </w:rPr>
      <w:start w:val="1"/>
      <w:suff w:val="tab"/>
    </w:lvl>
    <w:lvl w:ilvl="5">
      <w:isLgl w:val="true"/>
      <w:lvlJc w:val="left"/>
      <w:lvlText w:val="%1.%2.%3.%4.%5.%6."/>
      <w:numFmt w:val="decimal"/>
      <w:pPr>
        <w:pBdr/>
        <w:spacing/>
        <w:ind w:hanging="1080" w:left="1440"/>
      </w:pPr>
      <w:rPr>
        <w:rFonts w:hint="default"/>
      </w:rPr>
      <w:start w:val="1"/>
      <w:suff w:val="tab"/>
    </w:lvl>
    <w:lvl w:ilvl="6">
      <w:isLgl w:val="true"/>
      <w:lvlJc w:val="left"/>
      <w:lvlText w:val="%1.%2.%3.%4.%5.%6.%7."/>
      <w:numFmt w:val="decimal"/>
      <w:pPr>
        <w:pBdr/>
        <w:spacing/>
        <w:ind w:hanging="1440" w:left="1800"/>
      </w:pPr>
      <w:rPr>
        <w:rFonts w:hint="default"/>
      </w:rPr>
      <w:start w:val="1"/>
      <w:suff w:val="tab"/>
    </w:lvl>
    <w:lvl w:ilvl="7">
      <w:isLgl w:val="true"/>
      <w:lvlJc w:val="left"/>
      <w:lvlText w:val="%1.%2.%3.%4.%5.%6.%7.%8."/>
      <w:numFmt w:val="decimal"/>
      <w:pPr>
        <w:pBdr/>
        <w:spacing/>
        <w:ind w:hanging="1440" w:left="1800"/>
      </w:pPr>
      <w:rPr>
        <w:rFonts w:hint="default"/>
      </w:rPr>
      <w:start w:val="1"/>
      <w:suff w:val="tab"/>
    </w:lvl>
    <w:lvl w:ilvl="8">
      <w:isLgl w:val="true"/>
      <w:lvlJc w:val="left"/>
      <w:lvlText w:val="%1.%2.%3.%4.%5.%6.%7.%8.%9."/>
      <w:numFmt w:val="decimal"/>
      <w:pPr>
        <w:pBdr/>
        <w:spacing/>
        <w:ind w:hanging="1800" w:left="2160"/>
      </w:pPr>
      <w:rPr>
        <w:rFonts w:hint="default"/>
      </w:rPr>
      <w:start w:val="1"/>
      <w:suff w:val="tab"/>
    </w:lvl>
  </w:abstractNum>
  <w:abstractNum w:abstractNumId="20">
    <w:nsid w:val="777753B4"/>
    <w:lvl w:ilvl="0">
      <w:isLgl w:val="false"/>
      <w:lvlJc w:val="left"/>
      <w:lvlText w:val=""/>
      <w:numFmt w:val="bullet"/>
      <w:pPr>
        <w:pBdr/>
        <w:spacing/>
        <w:ind w:hanging="360" w:left="720"/>
      </w:pPr>
      <w:rPr>
        <w:rFonts w:hint="default" w:ascii="Wingdings" w:hAnsi="Wingdings"/>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num w:numId="1">
    <w:abstractNumId w:val="11"/>
  </w:num>
  <w:num w:numId="2">
    <w:abstractNumId w:val="18"/>
  </w:num>
  <w:num w:numId="3">
    <w:abstractNumId w:val="19"/>
  </w:num>
  <w:num w:numId="4">
    <w:abstractNumId w:val="6"/>
  </w:num>
  <w:num w:numId="5">
    <w:abstractNumId w:val="14"/>
  </w:num>
  <w:num w:numId="6">
    <w:abstractNumId w:val="4"/>
  </w:num>
  <w:num w:numId="7">
    <w:abstractNumId w:val="10"/>
  </w:num>
  <w:num w:numId="8">
    <w:abstractNumId w:val="15"/>
  </w:num>
  <w:num w:numId="9">
    <w:abstractNumId w:val="12"/>
  </w:num>
  <w:num w:numId="10">
    <w:abstractNumId w:val="5"/>
  </w:num>
  <w:num w:numId="11">
    <w:abstractNumId w:val="9"/>
  </w:num>
  <w:num w:numId="12">
    <w:abstractNumId w:val="1"/>
  </w:num>
  <w:num w:numId="13">
    <w:abstractNumId w:val="20"/>
  </w:num>
  <w:num w:numId="14">
    <w:abstractNumId w:val="7"/>
  </w:num>
  <w:num w:numId="15">
    <w:abstractNumId w:val="17"/>
  </w:num>
  <w:num w:numId="16">
    <w:abstractNumId w:val="8"/>
  </w:num>
  <w:num w:numId="17">
    <w:abstractNumId w:val="13"/>
  </w:num>
  <w:num w:numId="18">
    <w:abstractNumId w:val="2"/>
  </w:num>
  <w:num w:numId="19">
    <w:abstractNumId w:val="3"/>
  </w:num>
  <w:num w:numId="20">
    <w:abstractNumId w:val="0"/>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hyphenationZone w:val="425"/>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Calibri" w:hAnsi="Calibri" w:eastAsia="Calibri" w:cs="Times New Roman"/>
        <w:lang w:val="pt-BR" w:eastAsia="pt-BR" w:bidi="ar-SA"/>
      </w:rPr>
    </w:rPrDefault>
    <w:pPrDefault>
      <w:pPr>
        <w:pBdr/>
        <w:spacing/>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769">
    <w:name w:val="Table Grid Light"/>
    <w:basedOn w:val="949"/>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0">
    <w:name w:val="Plain Table 1"/>
    <w:basedOn w:val="949"/>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1">
    <w:name w:val="Plain Table 2"/>
    <w:basedOn w:val="949"/>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2">
    <w:name w:val="Plain Table 3"/>
    <w:basedOn w:val="949"/>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3">
    <w:name w:val="Plain Table 4"/>
    <w:basedOn w:val="949"/>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4">
    <w:name w:val="Plain Table 5"/>
    <w:basedOn w:val="949"/>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5">
    <w:name w:val="Grid Table 1 Light"/>
    <w:basedOn w:val="949"/>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6">
    <w:name w:val="Grid Table 1 Light - Accent 1"/>
    <w:basedOn w:val="949"/>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7">
    <w:name w:val="Grid Table 1 Light - Accent 2"/>
    <w:basedOn w:val="949"/>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8">
    <w:name w:val="Grid Table 1 Light - Accent 3"/>
    <w:basedOn w:val="949"/>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9">
    <w:name w:val="Grid Table 1 Light - Accent 4"/>
    <w:basedOn w:val="949"/>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0">
    <w:name w:val="Grid Table 1 Light - Accent 5"/>
    <w:basedOn w:val="949"/>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1">
    <w:name w:val="Grid Table 1 Light - Accent 6"/>
    <w:basedOn w:val="949"/>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2">
    <w:name w:val="Grid Table 2"/>
    <w:basedOn w:val="949"/>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3">
    <w:name w:val="Grid Table 2 - Accent 1"/>
    <w:basedOn w:val="949"/>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9e2f3"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9e2f3"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4">
    <w:name w:val="Grid Table 2 - Accent 2"/>
    <w:basedOn w:val="949"/>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5">
    <w:name w:val="Grid Table 2 - Accent 3"/>
    <w:basedOn w:val="949"/>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6">
    <w:name w:val="Grid Table 2 - Accent 4"/>
    <w:basedOn w:val="949"/>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7">
    <w:name w:val="Grid Table 2 - Accent 5"/>
    <w:basedOn w:val="949"/>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8">
    <w:name w:val="Grid Table 2 - Accent 6"/>
    <w:basedOn w:val="949"/>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9">
    <w:name w:val="Grid Table 3"/>
    <w:basedOn w:val="949"/>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0">
    <w:name w:val="Grid Table 3 - Accent 1"/>
    <w:basedOn w:val="949"/>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9e2f3"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9e2f3"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1">
    <w:name w:val="Grid Table 3 - Accent 2"/>
    <w:basedOn w:val="949"/>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2">
    <w:name w:val="Grid Table 3 - Accent 3"/>
    <w:basedOn w:val="949"/>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3">
    <w:name w:val="Grid Table 3 - Accent 4"/>
    <w:basedOn w:val="949"/>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4">
    <w:name w:val="Grid Table 3 - Accent 5"/>
    <w:basedOn w:val="949"/>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5">
    <w:name w:val="Grid Table 3 - Accent 6"/>
    <w:basedOn w:val="949"/>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6">
    <w:name w:val="Grid Table 4"/>
    <w:basedOn w:val="949"/>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7">
    <w:name w:val="Grid Table 4 - Accent 1"/>
    <w:basedOn w:val="949"/>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ae3f3"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ae3f3"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537ec9"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8">
    <w:name w:val="Grid Table 4 - Accent 2"/>
    <w:basedOn w:val="949"/>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9">
    <w:name w:val="Grid Table 4 - Accent 3"/>
    <w:basedOn w:val="949"/>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0">
    <w:name w:val="Grid Table 4 - Accent 4"/>
    <w:basedOn w:val="949"/>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1">
    <w:name w:val="Grid Table 4 - Accent 5"/>
    <w:basedOn w:val="949"/>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5b9bd5"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2">
    <w:name w:val="Grid Table 4 - Accent 6"/>
    <w:basedOn w:val="949"/>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3">
    <w:name w:val="Grid Table 5 Dark"/>
    <w:basedOn w:val="949"/>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4">
    <w:name w:val="Grid Table 5 Dark- Accent 1"/>
    <w:basedOn w:val="949"/>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9e2f3" w:themeFill="accent1" w:themeFillTint="34"/>
    </w:tblPr>
    <w:tcPr>
      <w:tcBorders/>
    </w:tcPr>
    <w:tblStylePr w:type="band1Horz">
      <w:pPr>
        <w:pBdr/>
        <w:spacing/>
        <w:ind/>
      </w:pPr>
      <w:tblPr>
        <w:tblBorders/>
      </w:tblPr>
      <w:tcPr>
        <w:shd w:val="clear" w:color="ffffff" w:themeColor="accent1" w:themeTint="75" w:fill="a9bee4" w:themeFill="accent1" w:themeFillTint="75"/>
        <w:tcBorders/>
      </w:tcPr>
    </w:tblStylePr>
    <w:tblStylePr w:type="band1Vert">
      <w:pPr>
        <w:pBdr/>
        <w:spacing/>
        <w:ind/>
      </w:pPr>
      <w:tblPr>
        <w:tblBorders/>
      </w:tblPr>
      <w:tcPr>
        <w:shd w:val="clear" w:color="ffffff" w:themeColor="accent1" w:themeTint="75" w:fill="a9bee4"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4472c4" w:themeFill="accent1"/>
        <w:tcBorders/>
      </w:tcPr>
    </w:tblStylePr>
    <w:tblStylePr w:type="firstRow">
      <w:rPr>
        <w:rFonts w:ascii="Arial" w:hAnsi="Arial"/>
        <w:b/>
        <w:color w:val="ffffff"/>
        <w:sz w:val="22"/>
      </w:rPr>
      <w:pPr>
        <w:pBdr/>
        <w:spacing/>
        <w:ind/>
      </w:pPr>
      <w:tblPr>
        <w:tblBorders/>
      </w:tblPr>
      <w:tcPr>
        <w:shd w:val="clear" w:color="ffffff" w:themeColor="accent1" w:fill="4472c4" w:themeFill="accent1"/>
        <w:tcBorders/>
      </w:tcPr>
    </w:tblStylePr>
    <w:tblStylePr w:type="lastCol">
      <w:rPr>
        <w:rFonts w:ascii="Arial" w:hAnsi="Arial"/>
        <w:b/>
        <w:color w:val="ffffff"/>
        <w:sz w:val="22"/>
      </w:rPr>
      <w:pPr>
        <w:pBdr/>
        <w:spacing/>
        <w:ind/>
      </w:pPr>
      <w:tblPr>
        <w:tblBorders/>
      </w:tblPr>
      <w:tcPr>
        <w:shd w:val="clear" w:color="ffffff" w:themeColor="accent1" w:fill="4472c4" w:themeFill="accent1"/>
        <w:tcBorders/>
      </w:tcPr>
    </w:tblStylePr>
    <w:tblStylePr w:type="lastRow">
      <w:rPr>
        <w:rFonts w:ascii="Arial" w:hAnsi="Arial"/>
        <w:b/>
        <w:color w:val="ffffff"/>
        <w:sz w:val="22"/>
      </w:rPr>
      <w:pPr>
        <w:pBdr/>
        <w:spacing/>
        <w:ind/>
      </w:pPr>
      <w:tblPr>
        <w:tblBorders/>
      </w:tblPr>
      <w:tcPr>
        <w:shd w:val="clear" w:color="ffffff" w:themeColor="accent1" w:fill="4472c4"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5">
    <w:name w:val="Grid Table 5 Dark - Accent 2"/>
    <w:basedOn w:val="949"/>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6d7" w:themeFill="accent2" w:themeFillTint="32"/>
    </w:tblPr>
    <w:tcPr>
      <w:tcBorders/>
    </w:tcPr>
    <w:tblStylePr w:type="band1Horz">
      <w:pPr>
        <w:pBdr/>
        <w:spacing/>
        <w:ind/>
      </w:pPr>
      <w:tblPr>
        <w:tblBorders/>
      </w:tblPr>
      <w:tcPr>
        <w:shd w:val="clear" w:color="ffffff" w:themeColor="accent2" w:themeTint="75" w:fill="f7c3a0" w:themeFill="accent2" w:themeFillTint="75"/>
        <w:tcBorders/>
      </w:tcPr>
    </w:tblStylePr>
    <w:tblStylePr w:type="band1Vert">
      <w:pPr>
        <w:pBdr/>
        <w:spacing/>
        <w:ind/>
      </w:pPr>
      <w:tblPr>
        <w:tblBorders/>
      </w:tblPr>
      <w:tcPr>
        <w:shd w:val="clear" w:color="ffffff" w:themeColor="accent2" w:themeTint="75" w:fill="f7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d7d31" w:themeFill="accent2"/>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rFonts w:ascii="Arial" w:hAnsi="Arial"/>
        <w:b/>
        <w:color w:val="ffffff"/>
        <w:sz w:val="22"/>
      </w:rPr>
      <w:pPr>
        <w:pBdr/>
        <w:spacing/>
        <w:ind/>
      </w:pPr>
      <w:tblPr>
        <w:tblBorders/>
      </w:tblPr>
      <w:tcPr>
        <w:shd w:val="clear" w:color="ffffff" w:themeColor="accent2" w:fill="ed7d31" w:themeFill="accent2"/>
        <w:tcBorders/>
      </w:tcPr>
    </w:tblStylePr>
    <w:tblStylePr w:type="lastRow">
      <w:rPr>
        <w:rFonts w:ascii="Arial" w:hAnsi="Arial"/>
        <w:b/>
        <w:color w:val="ffffff"/>
        <w:sz w:val="22"/>
      </w:rPr>
      <w:pPr>
        <w:pBdr/>
        <w:spacing/>
        <w:ind/>
      </w:pPr>
      <w:tblPr>
        <w:tblBorders/>
      </w:tblPr>
      <w:tcPr>
        <w:shd w:val="clear" w:color="ffffff" w:themeColor="accent2"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6">
    <w:name w:val="Grid Table 5 Dark - Accent 3"/>
    <w:basedOn w:val="949"/>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cPr>
      <w:tcBorders/>
    </w:tcPr>
    <w:tblStylePr w:type="band1Horz">
      <w:pPr>
        <w:pBdr/>
        <w:spacing/>
        <w:ind/>
      </w:pPr>
      <w:tblPr>
        <w:tblBorders/>
      </w:tblPr>
      <w:tcPr>
        <w:shd w:val="clear" w:color="ffffff" w:themeColor="accent3" w:themeTint="75" w:fill="d6d6d6" w:themeFill="accent3" w:themeFillTint="75"/>
        <w:tcBorders/>
      </w:tcPr>
    </w:tblStylePr>
    <w:tblStylePr w:type="band1Vert">
      <w:pPr>
        <w:pBdr/>
        <w:spacing/>
        <w:ind/>
      </w:pPr>
      <w:tblPr>
        <w:tblBorders/>
      </w:tblPr>
      <w:tcPr>
        <w:shd w:val="clear" w:color="ffffff" w:themeColor="accent3" w:themeTint="75"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a5a5a5" w:themeFill="accent3"/>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rFonts w:ascii="Arial" w:hAnsi="Arial"/>
        <w:b/>
        <w:color w:val="ffffff"/>
        <w:sz w:val="22"/>
      </w:rPr>
      <w:pPr>
        <w:pBdr/>
        <w:spacing/>
        <w:ind/>
      </w:pPr>
      <w:tblPr>
        <w:tblBorders/>
      </w:tblPr>
      <w:tcPr>
        <w:shd w:val="clear" w:color="ffffff" w:themeColor="accent3" w:fill="a5a5a5" w:themeFill="accent3"/>
        <w:tcBorders/>
      </w:tcPr>
    </w:tblStylePr>
    <w:tblStylePr w:type="lastRow">
      <w:rPr>
        <w:rFonts w:ascii="Arial" w:hAnsi="Arial"/>
        <w:b/>
        <w:color w:val="ffffff"/>
        <w:sz w:val="22"/>
      </w:rPr>
      <w:pPr>
        <w:pBdr/>
        <w:spacing/>
        <w:ind/>
      </w:pPr>
      <w:tblPr>
        <w:tblBorders/>
      </w:tblPr>
      <w:tcPr>
        <w:shd w:val="clear" w:color="ffffff" w:themeColor="accent3"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7">
    <w:name w:val="Grid Table 5 Dark- Accent 4"/>
    <w:basedOn w:val="949"/>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ff2cb" w:themeFill="accent4" w:themeFillTint="34"/>
    </w:tblPr>
    <w:tcPr>
      <w:tcBorders/>
    </w:tcPr>
    <w:tblStylePr w:type="band1Horz">
      <w:pPr>
        <w:pBdr/>
        <w:spacing/>
        <w:ind/>
      </w:pPr>
      <w:tblPr>
        <w:tblBorders/>
      </w:tblPr>
      <w:tcPr>
        <w:shd w:val="clear" w:color="ffffff" w:themeColor="accent4" w:themeTint="75" w:fill="ffe28a" w:themeFill="accent4" w:themeFillTint="75"/>
        <w:tcBorders/>
      </w:tcPr>
    </w:tblStylePr>
    <w:tblStylePr w:type="band1Vert">
      <w:pPr>
        <w:pBdr/>
        <w:spacing/>
        <w:ind/>
      </w:pPr>
      <w:tblPr>
        <w:tblBorders/>
      </w:tblPr>
      <w:tcPr>
        <w:shd w:val="clear" w:color="ffffff" w:themeColor="accent4" w:themeTint="75"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ffc000" w:themeFill="accent4"/>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rFonts w:ascii="Arial" w:hAnsi="Arial"/>
        <w:b/>
        <w:color w:val="ffffff"/>
        <w:sz w:val="22"/>
      </w:rPr>
      <w:pPr>
        <w:pBdr/>
        <w:spacing/>
        <w:ind/>
      </w:pPr>
      <w:tblPr>
        <w:tblBorders/>
      </w:tblPr>
      <w:tcPr>
        <w:shd w:val="clear" w:color="ffffff" w:themeColor="accent4" w:fill="ffc000" w:themeFill="accent4"/>
        <w:tcBorders/>
      </w:tcPr>
    </w:tblStylePr>
    <w:tblStylePr w:type="lastRow">
      <w:rPr>
        <w:rFonts w:ascii="Arial" w:hAnsi="Arial"/>
        <w:b/>
        <w:color w:val="ffffff"/>
        <w:sz w:val="22"/>
      </w:rPr>
      <w:pPr>
        <w:pBdr/>
        <w:spacing/>
        <w:ind/>
      </w:pPr>
      <w:tblPr>
        <w:tblBorders/>
      </w:tblPr>
      <w:tcPr>
        <w:shd w:val="clear" w:color="ffffff" w:themeColor="accent4"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8">
    <w:name w:val="Grid Table 5 Dark - Accent 5"/>
    <w:basedOn w:val="949"/>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eebf6" w:themeFill="accent5" w:themeFillTint="34"/>
    </w:tblPr>
    <w:tcPr>
      <w:tcBorders/>
    </w:tcPr>
    <w:tblStylePr w:type="band1Horz">
      <w:pPr>
        <w:pBdr/>
        <w:spacing/>
        <w:ind/>
      </w:pPr>
      <w:tblPr>
        <w:tblBorders/>
      </w:tblPr>
      <w:tcPr>
        <w:shd w:val="clear" w:color="ffffff" w:themeColor="accent5" w:themeTint="75" w:fill="b4d1ec" w:themeFill="accent5" w:themeFillTint="75"/>
        <w:tcBorders/>
      </w:tcPr>
    </w:tblStylePr>
    <w:tblStylePr w:type="band1Vert">
      <w:pPr>
        <w:pBdr/>
        <w:spacing/>
        <w:ind/>
      </w:pPr>
      <w:tblPr>
        <w:tblBorders/>
      </w:tblPr>
      <w:tcPr>
        <w:shd w:val="clear" w:color="ffffff" w:themeColor="accent5" w:themeTint="75" w:fill="b4d1ec"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5b9bd5" w:themeFill="accent5"/>
        <w:tcBorders/>
      </w:tcPr>
    </w:tblStylePr>
    <w:tblStylePr w:type="firstRow">
      <w:rPr>
        <w:rFonts w:ascii="Arial" w:hAnsi="Arial"/>
        <w:b/>
        <w:color w:val="ffffff"/>
        <w:sz w:val="22"/>
      </w:rPr>
      <w:pPr>
        <w:pBdr/>
        <w:spacing/>
        <w:ind/>
      </w:pPr>
      <w:tblPr>
        <w:tblBorders/>
      </w:tblPr>
      <w:tcPr>
        <w:shd w:val="clear" w:color="ffffff" w:themeColor="accent5" w:fill="5b9bd5" w:themeFill="accent5"/>
        <w:tcBorders/>
      </w:tcPr>
    </w:tblStylePr>
    <w:tblStylePr w:type="lastCol">
      <w:rPr>
        <w:rFonts w:ascii="Arial" w:hAnsi="Arial"/>
        <w:b/>
        <w:color w:val="ffffff"/>
        <w:sz w:val="22"/>
      </w:rPr>
      <w:pPr>
        <w:pBdr/>
        <w:spacing/>
        <w:ind/>
      </w:pPr>
      <w:tblPr>
        <w:tblBorders/>
      </w:tblPr>
      <w:tcPr>
        <w:shd w:val="clear" w:color="ffffff" w:themeColor="accent5" w:fill="5b9bd5" w:themeFill="accent5"/>
        <w:tcBorders/>
      </w:tcPr>
    </w:tblStylePr>
    <w:tblStylePr w:type="lastRow">
      <w:rPr>
        <w:rFonts w:ascii="Arial" w:hAnsi="Arial"/>
        <w:b/>
        <w:color w:val="ffffff"/>
        <w:sz w:val="22"/>
      </w:rPr>
      <w:pPr>
        <w:pBdr/>
        <w:spacing/>
        <w:ind/>
      </w:pPr>
      <w:tblPr>
        <w:tblBorders/>
      </w:tblPr>
      <w:tcPr>
        <w:shd w:val="clear" w:color="ffffff" w:themeColor="accent5" w:fill="5b9bd5"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9">
    <w:name w:val="Grid Table 5 Dark - Accent 6"/>
    <w:basedOn w:val="949"/>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9" w:themeFill="accent6" w:themeFillTint="34"/>
    </w:tblPr>
    <w:tcPr>
      <w:tcBorders/>
    </w:tcPr>
    <w:tblStylePr w:type="band1Horz">
      <w:pPr>
        <w:pBdr/>
        <w:spacing/>
        <w:ind/>
      </w:pPr>
      <w:tblPr>
        <w:tblBorders/>
      </w:tblPr>
      <w:tcPr>
        <w:shd w:val="clear" w:color="ffffff" w:themeColor="accent6" w:themeTint="75" w:fill="bddba8" w:themeFill="accent6" w:themeFillTint="75"/>
        <w:tcBorders/>
      </w:tcPr>
    </w:tblStylePr>
    <w:tblStylePr w:type="band1Vert">
      <w:pPr>
        <w:pBdr/>
        <w:spacing/>
        <w:ind/>
      </w:pPr>
      <w:tblPr>
        <w:tblBorders/>
      </w:tblPr>
      <w:tcPr>
        <w:shd w:val="clear" w:color="ffffff" w:themeColor="accent6" w:themeTint="75" w:fill="bd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70ad47" w:themeFill="accent6"/>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rFonts w:ascii="Arial" w:hAnsi="Arial"/>
        <w:b/>
        <w:color w:val="ffffff"/>
        <w:sz w:val="22"/>
      </w:rPr>
      <w:pPr>
        <w:pBdr/>
        <w:spacing/>
        <w:ind/>
      </w:pPr>
      <w:tblPr>
        <w:tblBorders/>
      </w:tblPr>
      <w:tcPr>
        <w:shd w:val="clear" w:color="ffffff" w:themeColor="accent6" w:fill="70ad47" w:themeFill="accent6"/>
        <w:tcBorders/>
      </w:tcPr>
    </w:tblStylePr>
    <w:tblStylePr w:type="lastRow">
      <w:rPr>
        <w:rFonts w:ascii="Arial" w:hAnsi="Arial"/>
        <w:b/>
        <w:color w:val="ffffff"/>
        <w:sz w:val="22"/>
      </w:rPr>
      <w:pPr>
        <w:pBdr/>
        <w:spacing/>
        <w:ind/>
      </w:pPr>
      <w:tblPr>
        <w:tblBorders/>
      </w:tblPr>
      <w:tcPr>
        <w:shd w:val="clear" w:color="ffffff" w:themeColor="accent6"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0">
    <w:name w:val="Grid Table 6 Colorful"/>
    <w:basedOn w:val="949"/>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811">
    <w:name w:val="Grid Table 6 Colorful - Accent 1"/>
    <w:basedOn w:val="949"/>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9e2f3" w:themeFill="accent1" w:themeFillTint="34"/>
        <w:tcBorders/>
      </w:tcPr>
    </w:tblStylePr>
    <w:tblStylePr w:type="band1Vert">
      <w:pPr>
        <w:pBdr/>
        <w:spacing/>
        <w:ind/>
      </w:pPr>
      <w:tblPr>
        <w:tblBorders/>
      </w:tblPr>
      <w:tcPr>
        <w:shd w:val="clear" w:color="ffffff" w:themeColor="accent1" w:themeTint="34" w:fill="d9e2f3"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760ab" w:themeColor="accent1" w:themeTint="80" w:themeShade="95"/>
      </w:rPr>
      <w:pPr>
        <w:pBdr/>
        <w:spacing/>
        <w:ind/>
      </w:pPr>
      <w:tblPr>
        <w:tblBorders/>
      </w:tblPr>
      <w:tcPr>
        <w:tcBorders/>
      </w:tcPr>
    </w:tblStylePr>
    <w:tblStylePr w:type="firstRow">
      <w:rPr>
        <w:b/>
        <w:color w:val="3760ab" w:themeColor="accent1" w:themeTint="80" w:themeShade="95"/>
      </w:rPr>
      <w:pPr>
        <w:pBdr/>
        <w:spacing/>
        <w:ind/>
      </w:pPr>
      <w:tblPr>
        <w:tblBorders/>
      </w:tblPr>
      <w:tcPr>
        <w:tcBorders>
          <w:bottom w:val="single" w:color="000000" w:themeColor="accent1" w:themeTint="80" w:sz="12" w:space="0"/>
        </w:tcBorders>
      </w:tcPr>
    </w:tblStylePr>
    <w:tblStylePr w:type="lastCol">
      <w:rPr>
        <w:b/>
        <w:color w:val="3760ab" w:themeColor="accent1" w:themeTint="80" w:themeShade="95"/>
      </w:rPr>
      <w:pPr>
        <w:pBdr/>
        <w:spacing/>
        <w:ind/>
      </w:pPr>
      <w:tblPr>
        <w:tblBorders/>
      </w:tblPr>
      <w:tcPr>
        <w:tcBorders/>
      </w:tcPr>
    </w:tblStylePr>
    <w:tblStylePr w:type="lastRow">
      <w:rPr>
        <w:b/>
        <w:color w:val="3760ab"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812">
    <w:name w:val="Grid Table 6 Colorful - Accent 2"/>
    <w:basedOn w:val="949"/>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12"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813">
    <w:name w:val="Grid Table 6 Colorful - Accent 3"/>
    <w:basedOn w:val="949"/>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06060" w:themeColor="accent3" w:themeTint="FE" w:themeShade="95"/>
      </w:rPr>
      <w:pPr>
        <w:pBdr/>
        <w:spacing/>
        <w:ind/>
      </w:pPr>
      <w:tblPr>
        <w:tblBorders/>
      </w:tblPr>
      <w:tcPr>
        <w:tcBorders/>
      </w:tcPr>
    </w:tblStylePr>
    <w:tblStylePr w:type="firstRow">
      <w:rPr>
        <w:b/>
        <w:color w:val="606060" w:themeColor="accent3" w:themeTint="FE" w:themeShade="95"/>
      </w:rPr>
      <w:pPr>
        <w:pBdr/>
        <w:spacing/>
        <w:ind/>
      </w:pPr>
      <w:tblPr>
        <w:tblBorders/>
      </w:tblPr>
      <w:tcPr>
        <w:tcBorders>
          <w:bottom w:val="single" w:color="000000" w:themeColor="accent3" w:themeTint="FE" w:sz="12" w:space="0"/>
        </w:tcBorders>
      </w:tcPr>
    </w:tblStylePr>
    <w:tblStylePr w:type="lastCol">
      <w:rPr>
        <w:b/>
        <w:color w:val="606060" w:themeColor="accent3" w:themeTint="FE" w:themeShade="95"/>
      </w:rPr>
      <w:pPr>
        <w:pBdr/>
        <w:spacing/>
        <w:ind/>
      </w:pPr>
      <w:tblPr>
        <w:tblBorders/>
      </w:tblPr>
      <w:tcPr>
        <w:tcBorders/>
      </w:tcPr>
    </w:tblStylePr>
    <w:tblStylePr w:type="lastRow">
      <w:rPr>
        <w:b/>
        <w:color w:val="606060"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814">
    <w:name w:val="Grid Table 6 Colorful - Accent 4"/>
    <w:basedOn w:val="949"/>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815">
    <w:name w:val="Grid Table 6 Colorful - Accent 5"/>
    <w:basedOn w:val="949"/>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eebf6" w:themeFill="accent5" w:themeFillTint="34"/>
        <w:tcBorders/>
      </w:tcPr>
    </w:tblStylePr>
    <w:tblStylePr w:type="band1Vert">
      <w:pPr>
        <w:pBdr/>
        <w:spacing/>
        <w:ind/>
      </w:pPr>
      <w:tblPr>
        <w:tblBorders/>
      </w:tblPr>
      <w:tcPr>
        <w:shd w:val="clear" w:color="ffffff" w:themeColor="accent5" w:themeTint="34" w:fill="deebf6"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5" w:themeShade="95"/>
      </w:rPr>
      <w:pPr>
        <w:pBdr/>
        <w:spacing/>
        <w:ind/>
      </w:pPr>
      <w:tblPr>
        <w:tblBorders/>
      </w:tblPr>
      <w:tcPr>
        <w:tcBorders/>
      </w:tcPr>
    </w:tblStylePr>
    <w:tblStylePr w:type="firstRow">
      <w:rPr>
        <w:b/>
        <w:color w:val="245b8d" w:themeColor="accent5" w:themeShade="95"/>
      </w:rPr>
      <w:pPr>
        <w:pBdr/>
        <w:spacing/>
        <w:ind/>
      </w:pPr>
      <w:tblPr>
        <w:tblBorders/>
      </w:tblPr>
      <w:tcPr>
        <w:tcBorders>
          <w:bottom w:val="single" w:color="000000" w:themeColor="accent5" w:sz="12" w:space="0"/>
        </w:tcBorders>
      </w:tcPr>
    </w:tblStylePr>
    <w:tblStylePr w:type="lastCol">
      <w:rPr>
        <w:b/>
        <w:color w:val="245b8d" w:themeColor="accent5" w:themeShade="95"/>
      </w:rPr>
      <w:pPr>
        <w:pBdr/>
        <w:spacing/>
        <w:ind/>
      </w:pPr>
      <w:tblPr>
        <w:tblBorders/>
      </w:tblPr>
      <w:tcPr>
        <w:tcBorders/>
      </w:tcPr>
    </w:tblStylePr>
    <w:tblStylePr w:type="lastRow">
      <w:rPr>
        <w:b/>
        <w:color w:val="245b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816">
    <w:name w:val="Grid Table 6 Colorful - Accent 6"/>
    <w:basedOn w:val="949"/>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5" w:themeShade="95"/>
      </w:rPr>
      <w:pPr>
        <w:pBdr/>
        <w:spacing/>
        <w:ind/>
      </w:pPr>
      <w:tblPr>
        <w:tblBorders/>
      </w:tblPr>
      <w:tcPr>
        <w:tcBorders/>
      </w:tcPr>
    </w:tblStylePr>
    <w:tblStylePr w:type="firstRow">
      <w:rPr>
        <w:b/>
        <w:color w:val="245b8d" w:themeColor="accent5" w:themeShade="95"/>
      </w:rPr>
      <w:pPr>
        <w:pBdr/>
        <w:spacing/>
        <w:ind/>
      </w:pPr>
      <w:tblPr>
        <w:tblBorders/>
      </w:tblPr>
      <w:tcPr>
        <w:tcBorders>
          <w:bottom w:val="single" w:color="000000" w:themeColor="accent6" w:sz="12" w:space="0"/>
        </w:tcBorders>
      </w:tcPr>
    </w:tblStylePr>
    <w:tblStylePr w:type="lastCol">
      <w:rPr>
        <w:b/>
        <w:color w:val="245b8d" w:themeColor="accent5" w:themeShade="95"/>
      </w:rPr>
      <w:pPr>
        <w:pBdr/>
        <w:spacing/>
        <w:ind/>
      </w:pPr>
      <w:tblPr>
        <w:tblBorders/>
      </w:tblPr>
      <w:tcPr>
        <w:tcBorders/>
      </w:tcPr>
    </w:tblStylePr>
    <w:tblStylePr w:type="lastRow">
      <w:rPr>
        <w:b/>
        <w:color w:val="245b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817">
    <w:name w:val="Grid Table 7 Colorful"/>
    <w:basedOn w:val="949"/>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8">
    <w:name w:val="Grid Table 7 Colorful - Accent 1"/>
    <w:basedOn w:val="949"/>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760ab" w:themeColor="accent1" w:themeTint="80" w:themeShade="95"/>
        <w:sz w:val="22"/>
      </w:rPr>
      <w:pPr>
        <w:pBdr/>
        <w:spacing/>
        <w:ind/>
      </w:pPr>
      <w:tblPr>
        <w:tblBorders/>
      </w:tblPr>
      <w:tcPr>
        <w:shd w:val="clear" w:color="ffffff" w:themeColor="accent1" w:themeTint="34" w:fill="d9e2f3" w:themeFill="accent1" w:themeFillTint="34"/>
        <w:tcBorders/>
      </w:tcPr>
    </w:tblStylePr>
    <w:tblStylePr w:type="band1Vert">
      <w:pPr>
        <w:pBdr/>
        <w:spacing/>
        <w:ind/>
      </w:pPr>
      <w:tblPr>
        <w:tblBorders/>
      </w:tblPr>
      <w:tcPr>
        <w:shd w:val="clear" w:color="ffffff" w:themeColor="accent1" w:themeTint="34" w:fill="d9e2f3" w:themeFill="accent1" w:themeFillTint="34"/>
        <w:tcBorders/>
      </w:tcPr>
    </w:tblStylePr>
    <w:tblStylePr w:type="band2Horz">
      <w:rPr>
        <w:rFonts w:ascii="Arial" w:hAnsi="Arial"/>
        <w:color w:val="3760ab"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760ab" w:themeColor="accen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760ab" w:themeColor="accen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760ab" w:themeColor="accent1" w:themeTint="80" w:themeShade="95"/>
        <w:sz w:val="22"/>
      </w:rPr>
      <w:pPr>
        <w:pBdr/>
        <w:spacing/>
        <w:ind/>
      </w:pPr>
      <w:tblPr>
        <w:tblBorders/>
      </w:tbl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760ab"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9">
    <w:name w:val="Grid Table 7 Colorful - Accent 2"/>
    <w:basedOn w:val="949"/>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a5d12"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0">
    <w:name w:val="Grid Table 7 Colorful - Accent 3"/>
    <w:basedOn w:val="949"/>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60606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60606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06060" w:themeColor="accent3" w:themeTint="FE"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pPr>
        <w:pBdr/>
        <w:spacing/>
        <w:ind/>
      </w:pPr>
      <w:tblPr>
        <w:tblBorders/>
      </w:tbl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1">
    <w:name w:val="Grid Table 7 Colorful - Accent 4"/>
    <w:basedOn w:val="949"/>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d09d00"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2">
    <w:name w:val="Grid Table 7 Colorful - Accent 5"/>
    <w:basedOn w:val="949"/>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45b8d" w:themeColor="accent5" w:themeShade="95"/>
        <w:sz w:val="22"/>
      </w:rPr>
      <w:pPr>
        <w:pBdr/>
        <w:spacing/>
        <w:ind/>
      </w:pPr>
      <w:tblPr>
        <w:tblBorders/>
      </w:tblPr>
      <w:tcPr>
        <w:shd w:val="clear" w:color="ffffff" w:themeColor="accent5" w:themeTint="34" w:fill="deebf6" w:themeFill="accent5" w:themeFillTint="34"/>
        <w:tcBorders/>
      </w:tcPr>
    </w:tblStylePr>
    <w:tblStylePr w:type="band1Vert">
      <w:pPr>
        <w:pBdr/>
        <w:spacing/>
        <w:ind/>
      </w:pPr>
      <w:tblPr>
        <w:tblBorders/>
      </w:tblPr>
      <w:tcPr>
        <w:shd w:val="clear" w:color="ffffff" w:themeColor="accent5" w:themeTint="34" w:fill="deebf6" w:themeFill="accent5" w:themeFillTint="34"/>
        <w:tcBorders/>
      </w:tcPr>
    </w:tblStylePr>
    <w:tblStylePr w:type="band2Horz">
      <w:rPr>
        <w:rFonts w:ascii="Arial" w:hAnsi="Arial"/>
        <w:color w:val="245b8d"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45b8d" w:themeColor="accent5"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45b8d" w:themeColor="accent5"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45b8d" w:themeColor="accent5" w:themeShade="95"/>
        <w:sz w:val="22"/>
      </w:rPr>
      <w:pPr>
        <w:pBdr/>
        <w:spacing/>
        <w:ind/>
      </w:pPr>
      <w:tblPr>
        <w:tblBorders/>
      </w:tbl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45b8d"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3">
    <w:name w:val="Grid Table 7 Colorful - Accent 6"/>
    <w:basedOn w:val="949"/>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16529" w:themeColor="accent6"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16529" w:themeColor="accent6"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16529" w:themeColor="accent6"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16529" w:themeColor="accent6" w:themeShade="95"/>
        <w:sz w:val="22"/>
      </w:rPr>
      <w:pPr>
        <w:pBdr/>
        <w:spacing/>
        <w:ind/>
      </w:pPr>
      <w:tblPr>
        <w:tblBorders/>
      </w:tbl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16529"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4">
    <w:name w:val="List Table 1 Light"/>
    <w:basedOn w:val="949"/>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5">
    <w:name w:val="List Table 1 Light - Accent 1"/>
    <w:basedOn w:val="949"/>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0dcf0" w:themeFill="accent1" w:themeFillTint="40"/>
        <w:tcBorders/>
      </w:tcPr>
    </w:tblStylePr>
    <w:tblStylePr w:type="band1Vert">
      <w:pPr>
        <w:pBdr/>
        <w:spacing/>
        <w:ind/>
      </w:pPr>
      <w:tblPr>
        <w:tblBorders/>
      </w:tblPr>
      <w:tcPr>
        <w:shd w:val="clear" w:color="ffffff" w:themeColor="accent1" w:themeTint="40" w:fill="d0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6">
    <w:name w:val="List Table 1 Light - Accent 2"/>
    <w:basedOn w:val="949"/>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7">
    <w:name w:val="List Table 1 Light - Accent 3"/>
    <w:basedOn w:val="949"/>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8">
    <w:name w:val="List Table 1 Light - Accent 4"/>
    <w:basedOn w:val="949"/>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9">
    <w:name w:val="List Table 1 Light - Accent 5"/>
    <w:basedOn w:val="949"/>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6e6f4" w:themeFill="accent5" w:themeFillTint="40"/>
        <w:tcBorders/>
      </w:tcPr>
    </w:tblStylePr>
    <w:tblStylePr w:type="band1Vert">
      <w:pPr>
        <w:pBdr/>
        <w:spacing/>
        <w:ind/>
      </w:pPr>
      <w:tblPr>
        <w:tblBorders/>
      </w:tblPr>
      <w:tcPr>
        <w:shd w:val="clear" w:color="ffffff" w:themeColor="accent5" w:themeTint="40" w:fill="d6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0">
    <w:name w:val="List Table 1 Light - Accent 6"/>
    <w:basedOn w:val="949"/>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1">
    <w:name w:val="List Table 2"/>
    <w:basedOn w:val="949"/>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2">
    <w:name w:val="List Table 2 - Accent 1"/>
    <w:basedOn w:val="949"/>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0dcf0"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0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3">
    <w:name w:val="List Table 2 - Accent 2"/>
    <w:basedOn w:val="949"/>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4">
    <w:name w:val="List Table 2 - Accent 3"/>
    <w:basedOn w:val="949"/>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5">
    <w:name w:val="List Table 2 - Accent 4"/>
    <w:basedOn w:val="949"/>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6">
    <w:name w:val="List Table 2 - Accent 5"/>
    <w:basedOn w:val="949"/>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6e6f4"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6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7">
    <w:name w:val="List Table 2 - Accent 6"/>
    <w:basedOn w:val="949"/>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8">
    <w:name w:val="List Table 3"/>
    <w:basedOn w:val="949"/>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9">
    <w:name w:val="List Table 3 - Accent 1"/>
    <w:basedOn w:val="949"/>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472c4"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0">
    <w:name w:val="List Table 3 - Accent 2"/>
    <w:basedOn w:val="949"/>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1">
    <w:name w:val="List Table 3 - Accent 3"/>
    <w:basedOn w:val="949"/>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9c9c9"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2">
    <w:name w:val="List Table 3 - Accent 4"/>
    <w:basedOn w:val="949"/>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3">
    <w:name w:val="List Table 3 - Accent 5"/>
    <w:basedOn w:val="949"/>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9cc3e6"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4">
    <w:name w:val="List Table 3 - Accent 6"/>
    <w:basedOn w:val="949"/>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a9d18f"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5">
    <w:name w:val="List Table 4"/>
    <w:basedOn w:val="949"/>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6">
    <w:name w:val="List Table 4 - Accent 1"/>
    <w:basedOn w:val="949"/>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0dcf0"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0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472c4"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7">
    <w:name w:val="List Table 4 - Accent 2"/>
    <w:basedOn w:val="949"/>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8">
    <w:name w:val="List Table 4 - Accent 3"/>
    <w:basedOn w:val="949"/>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9">
    <w:name w:val="List Table 4 - Accent 4"/>
    <w:basedOn w:val="949"/>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0">
    <w:name w:val="List Table 4 - Accent 5"/>
    <w:basedOn w:val="949"/>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6e6f4"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6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5b9bd5"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1">
    <w:name w:val="List Table 4 - Accent 6"/>
    <w:basedOn w:val="949"/>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2">
    <w:name w:val="List Table 5 Dark"/>
    <w:basedOn w:val="949"/>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53">
    <w:name w:val="List Table 5 Dark - Accent 1"/>
    <w:basedOn w:val="949"/>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472c4" w:themeFill="accent1"/>
    </w:tblPr>
    <w:tcPr>
      <w:tcBorders/>
    </w:tcPr>
    <w:tblStylePr w:type="band1Horz">
      <w:pPr>
        <w:pBdr/>
        <w:spacing/>
        <w:ind/>
      </w:pPr>
      <w:tblPr>
        <w:tblBorders/>
      </w:tblPr>
      <w:tcPr>
        <w:shd w:val="clear" w:color="ffffff" w:themeColor="accent1" w:fill="4472c4"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4472c4"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4472c4"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4472c4"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54">
    <w:name w:val="List Table 5 Dark - Accent 2"/>
    <w:basedOn w:val="949"/>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285" w:themeFill="accent2" w:themeFillTint="97"/>
    </w:tblPr>
    <w:tcPr>
      <w:tcBorders/>
    </w:tcPr>
    <w:tblStylePr w:type="band1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4b2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4b285"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55">
    <w:name w:val="List Table 5 Dark - Accent 3"/>
    <w:basedOn w:val="949"/>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cPr>
      <w:tcBorders/>
    </w:tcPr>
    <w:tblStylePr w:type="band1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56">
    <w:name w:val="List Table 5 Dark - Accent 4"/>
    <w:basedOn w:val="949"/>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965" w:themeFill="accent4" w:themeFillTint="9A"/>
    </w:tblPr>
    <w:tcPr>
      <w:tcBorders/>
    </w:tcPr>
    <w:tblStylePr w:type="band1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ffd965"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ffd965"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57">
    <w:name w:val="List Table 5 Dark - Accent 5"/>
    <w:basedOn w:val="949"/>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cc3e6" w:themeFill="accent5" w:themeFillTint="9A"/>
    </w:tblPr>
    <w:tcPr>
      <w:tcBorders/>
    </w:tcPr>
    <w:tblStylePr w:type="band1Horz">
      <w:pPr>
        <w:pBdr/>
        <w:spacing/>
        <w:ind/>
      </w:pPr>
      <w:tblPr>
        <w:tblBorders/>
      </w:tblPr>
      <w:tcPr>
        <w:shd w:val="clear" w:color="ffffff" w:themeColor="accent5" w:themeTint="9A" w:fill="9cc3e6"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9cc3e6"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9cc3e6"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9cc3e6"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58">
    <w:name w:val="List Table 5 Dark - Accent 6"/>
    <w:basedOn w:val="949"/>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9d18f" w:themeFill="accent6" w:themeFillTint="98"/>
    </w:tblPr>
    <w:tcPr>
      <w:tcBorders/>
    </w:tcPr>
    <w:tblStylePr w:type="band1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a9d1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a9d18f"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59">
    <w:name w:val="List Table 6 Colorful"/>
    <w:basedOn w:val="949"/>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0">
    <w:name w:val="List Table 6 Colorful - Accent 1"/>
    <w:basedOn w:val="949"/>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0dcf0" w:themeFill="accent1" w:themeFillTint="40"/>
        <w:tcBorders/>
      </w:tcPr>
    </w:tblStylePr>
    <w:tblStylePr w:type="band1Vert">
      <w:pPr>
        <w:pBdr/>
        <w:spacing/>
        <w:ind/>
      </w:pPr>
      <w:tblPr>
        <w:tblBorders/>
      </w:tblPr>
      <w:tcPr>
        <w:shd w:val="clear" w:color="ffffff" w:themeColor="accent1" w:themeTint="40" w:fill="d0dcf0"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1" w:themeShade="95"/>
      </w:rPr>
      <w:pPr>
        <w:pBdr/>
        <w:spacing/>
        <w:ind/>
      </w:pPr>
      <w:tblPr>
        <w:tblBorders/>
      </w:tblPr>
      <w:tcPr>
        <w:tcBorders/>
      </w:tcPr>
    </w:tblStylePr>
    <w:tblStylePr w:type="firstRow">
      <w:rPr>
        <w:b/>
        <w:color w:val="254275" w:themeColor="accent1" w:themeShade="95"/>
      </w:rPr>
      <w:pPr>
        <w:pBdr/>
        <w:spacing/>
        <w:ind/>
      </w:pPr>
      <w:tblPr>
        <w:tblBorders/>
      </w:tblPr>
      <w:tcPr>
        <w:tcBorders>
          <w:bottom w:val="single" w:color="000000" w:themeColor="accent1" w:sz="4" w:space="0"/>
        </w:tcBorders>
      </w:tcPr>
    </w:tblStylePr>
    <w:tblStylePr w:type="lastCol">
      <w:rPr>
        <w:b/>
        <w:color w:val="254275" w:themeColor="accent1" w:themeShade="95"/>
      </w:rPr>
      <w:pPr>
        <w:pBdr/>
        <w:spacing/>
        <w:ind/>
      </w:pPr>
      <w:tblPr>
        <w:tblBorders/>
      </w:tblPr>
      <w:tcPr>
        <w:tcBorders/>
      </w:tcPr>
    </w:tblStylePr>
    <w:tblStylePr w:type="lastRow">
      <w:rPr>
        <w:b/>
        <w:color w:val="254275"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1">
    <w:name w:val="List Table 6 Colorful - Accent 2"/>
    <w:basedOn w:val="949"/>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4"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2">
    <w:name w:val="List Table 6 Colorful - Accent 3"/>
    <w:basedOn w:val="949"/>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57575" w:themeColor="accent3" w:themeTint="98" w:themeShade="95"/>
      </w:rPr>
      <w:pPr>
        <w:pBdr/>
        <w:spacing/>
        <w:ind/>
      </w:pPr>
      <w:tblPr>
        <w:tblBorders/>
      </w:tblPr>
      <w:tcPr>
        <w:tcBorders/>
      </w:tcPr>
    </w:tblStylePr>
    <w:tblStylePr w:type="firstRow">
      <w:rPr>
        <w:b/>
        <w:color w:val="757575" w:themeColor="accent3" w:themeTint="98" w:themeShade="95"/>
      </w:rPr>
      <w:pPr>
        <w:pBdr/>
        <w:spacing/>
        <w:ind/>
      </w:pPr>
      <w:tblPr>
        <w:tblBorders/>
      </w:tblPr>
      <w:tcPr>
        <w:tcBorders>
          <w:bottom w:val="single" w:color="000000" w:themeColor="accent3" w:themeTint="98" w:sz="4" w:space="0"/>
        </w:tcBorders>
      </w:tcPr>
    </w:tblStylePr>
    <w:tblStylePr w:type="lastCol">
      <w:rPr>
        <w:b/>
        <w:color w:val="757575" w:themeColor="accent3" w:themeTint="98" w:themeShade="95"/>
      </w:rPr>
      <w:pPr>
        <w:pBdr/>
        <w:spacing/>
        <w:ind/>
      </w:pPr>
      <w:tblPr>
        <w:tblBorders/>
      </w:tblPr>
      <w:tcPr>
        <w:tcBorders/>
      </w:tcPr>
    </w:tblStylePr>
    <w:tblStylePr w:type="lastRow">
      <w:rPr>
        <w:b/>
        <w:color w:val="757575"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3">
    <w:name w:val="List Table 6 Colorful - Accent 4"/>
    <w:basedOn w:val="949"/>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4">
    <w:name w:val="List Table 6 Colorful - Accent 5"/>
    <w:basedOn w:val="949"/>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6e6f4" w:themeFill="accent5" w:themeFillTint="40"/>
        <w:tcBorders/>
      </w:tcPr>
    </w:tblStylePr>
    <w:tblStylePr w:type="band1Vert">
      <w:pPr>
        <w:pBdr/>
        <w:spacing/>
        <w:ind/>
      </w:pPr>
      <w:tblPr>
        <w:tblBorders/>
      </w:tblPr>
      <w:tcPr>
        <w:shd w:val="clear" w:color="ffffff" w:themeColor="accent5" w:themeTint="40" w:fill="d6e6f4"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d74b4" w:themeColor="accent5" w:themeTint="9A" w:themeShade="95"/>
      </w:rPr>
      <w:pPr>
        <w:pBdr/>
        <w:spacing/>
        <w:ind/>
      </w:pPr>
      <w:tblPr>
        <w:tblBorders/>
      </w:tblPr>
      <w:tcPr>
        <w:tcBorders/>
      </w:tcPr>
    </w:tblStylePr>
    <w:tblStylePr w:type="firstRow">
      <w:rPr>
        <w:b/>
        <w:color w:val="2d74b4" w:themeColor="accent5" w:themeTint="9A" w:themeShade="95"/>
      </w:rPr>
      <w:pPr>
        <w:pBdr/>
        <w:spacing/>
        <w:ind/>
      </w:pPr>
      <w:tblPr>
        <w:tblBorders/>
      </w:tblPr>
      <w:tcPr>
        <w:tcBorders>
          <w:bottom w:val="single" w:color="000000" w:themeColor="accent5" w:themeTint="9A" w:sz="4" w:space="0"/>
        </w:tcBorders>
      </w:tcPr>
    </w:tblStylePr>
    <w:tblStylePr w:type="lastCol">
      <w:rPr>
        <w:b/>
        <w:color w:val="2d74b4" w:themeColor="accent5" w:themeTint="9A" w:themeShade="95"/>
      </w:rPr>
      <w:pPr>
        <w:pBdr/>
        <w:spacing/>
        <w:ind/>
      </w:pPr>
      <w:tblPr>
        <w:tblBorders/>
      </w:tblPr>
      <w:tcPr>
        <w:tcBorders/>
      </w:tcPr>
    </w:tblStylePr>
    <w:tblStylePr w:type="lastRow">
      <w:rPr>
        <w:b/>
        <w:color w:val="2d74b4"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5">
    <w:name w:val="List Table 6 Colorful - Accent 6"/>
    <w:basedOn w:val="949"/>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000000" w:themeColor="accent6" w:themeTint="98"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6">
    <w:name w:val="List Table 7 Colorful"/>
    <w:basedOn w:val="949"/>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867">
    <w:name w:val="List Table 7 Colorful - Accent 1"/>
    <w:basedOn w:val="949"/>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54275" w:themeColor="accent1" w:themeShade="95"/>
        <w:sz w:val="22"/>
      </w:rPr>
      <w:pPr>
        <w:pBdr/>
        <w:spacing/>
        <w:ind/>
      </w:pPr>
      <w:tblPr>
        <w:tblBorders/>
      </w:tblPr>
      <w:tcPr>
        <w:shd w:val="clear" w:color="ffffff" w:themeColor="accent1" w:themeTint="40" w:fill="d0dcf0" w:themeFill="accent1" w:themeFillTint="40"/>
        <w:tcBorders/>
      </w:tcPr>
    </w:tblStylePr>
    <w:tblStylePr w:type="band1Vert">
      <w:pPr>
        <w:pBdr/>
        <w:spacing/>
        <w:ind/>
      </w:pPr>
      <w:tblPr>
        <w:tblBorders/>
      </w:tblPr>
      <w:tcPr>
        <w:shd w:val="clear" w:color="ffffff" w:themeColor="accent1" w:themeTint="40" w:fill="d0dcf0" w:themeFill="accent1" w:themeFillTint="40"/>
        <w:tcBorders/>
      </w:tcPr>
    </w:tblStylePr>
    <w:tblStylePr w:type="band2Horz">
      <w:rPr>
        <w:rFonts w:ascii="Arial" w:hAnsi="Arial"/>
        <w:color w:val="254275"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54275" w:themeColor="accent1"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54275" w:themeColor="accent1"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54275" w:themeColor="accent1" w:themeShade="95"/>
        <w:sz w:val="22"/>
      </w:rPr>
      <w:pPr>
        <w:pBdr/>
        <w:spacing/>
        <w:ind/>
      </w:pPr>
      <w:tblPr>
        <w:tblBorders/>
      </w:tbl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54275" w:themeColor="accent1" w:themeShade="95"/>
        <w:sz w:val="22"/>
      </w:rPr>
      <w:pPr>
        <w:pBdr/>
        <w:spacing/>
        <w:ind/>
      </w:pPr>
      <w:tblPr>
        <w:tblBorders/>
      </w:tbl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54275" w:themeColor="accent1" w:themeShade="95"/>
        <w:sz w:val="22"/>
      </w:rPr>
      <w:pPr>
        <w:pBdr/>
        <w:spacing/>
        <w:ind/>
      </w:pPr>
      <w:tblPr>
        <w:tblBorders/>
      </w:tblPr>
      <w:tcPr>
        <w:tcBorders/>
      </w:tcPr>
    </w:tblStylePr>
  </w:style>
  <w:style w:type="table" w:styleId="868">
    <w:name w:val="List Table 7 Colorful - Accent 2"/>
    <w:basedOn w:val="949"/>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a5d12"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a5d12" w:themeColor="accent2" w:themeTint="97" w:themeShade="95"/>
        <w:sz w:val="22"/>
      </w:rPr>
      <w:pPr>
        <w:pBdr/>
        <w:spacing/>
        <w:ind/>
      </w:pPr>
      <w:tblPr>
        <w:tblBorders/>
      </w:tblPr>
      <w:tcPr>
        <w:tcBorders/>
      </w:tcPr>
    </w:tblStylePr>
  </w:style>
  <w:style w:type="table" w:styleId="869">
    <w:name w:val="List Table 7 Colorful - Accent 3"/>
    <w:basedOn w:val="949"/>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57575"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757575"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57575" w:themeColor="accent3"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pPr>
        <w:pBdr/>
        <w:spacing/>
        <w:ind/>
      </w:pPr>
      <w:tblPr>
        <w:tblBorders/>
      </w:tbl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57575" w:themeColor="accent3" w:themeTint="98" w:themeShade="95"/>
        <w:sz w:val="22"/>
      </w:rPr>
      <w:pPr>
        <w:pBdr/>
        <w:spacing/>
        <w:ind/>
      </w:pPr>
      <w:tblPr>
        <w:tblBorders/>
      </w:tblPr>
      <w:tcPr>
        <w:tcBorders/>
      </w:tcPr>
    </w:tblStylePr>
  </w:style>
  <w:style w:type="table" w:styleId="870">
    <w:name w:val="List Table 7 Colorful - Accent 4"/>
    <w:basedOn w:val="949"/>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d09d00"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09d00" w:themeColor="accent4" w:themeTint="9A" w:themeShade="95"/>
        <w:sz w:val="22"/>
      </w:rPr>
      <w:pPr>
        <w:pBdr/>
        <w:spacing/>
        <w:ind/>
      </w:pPr>
      <w:tblPr>
        <w:tblBorders/>
      </w:tblPr>
      <w:tcPr>
        <w:tcBorders/>
      </w:tcPr>
    </w:tblStylePr>
  </w:style>
  <w:style w:type="table" w:styleId="871">
    <w:name w:val="List Table 7 Colorful - Accent 5"/>
    <w:basedOn w:val="949"/>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2d74b4" w:themeColor="accent5" w:themeTint="9A" w:themeShade="95"/>
        <w:sz w:val="22"/>
      </w:rPr>
      <w:pPr>
        <w:pBdr/>
        <w:spacing/>
        <w:ind/>
      </w:pPr>
      <w:tblPr>
        <w:tblBorders/>
      </w:tblPr>
      <w:tcPr>
        <w:shd w:val="clear" w:color="ffffff" w:themeColor="accent5" w:themeTint="40" w:fill="d6e6f4" w:themeFill="accent5" w:themeFillTint="40"/>
        <w:tcBorders/>
      </w:tcPr>
    </w:tblStylePr>
    <w:tblStylePr w:type="band1Vert">
      <w:pPr>
        <w:pBdr/>
        <w:spacing/>
        <w:ind/>
      </w:pPr>
      <w:tblPr>
        <w:tblBorders/>
      </w:tblPr>
      <w:tcPr>
        <w:shd w:val="clear" w:color="ffffff" w:themeColor="accent5" w:themeTint="40" w:fill="d6e6f4" w:themeFill="accent5" w:themeFillTint="40"/>
        <w:tcBorders/>
      </w:tcPr>
    </w:tblStylePr>
    <w:tblStylePr w:type="band2Horz">
      <w:rPr>
        <w:rFonts w:ascii="Arial" w:hAnsi="Arial"/>
        <w:color w:val="2d74b4"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d74b4" w:themeColor="accent5"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2d74b4" w:themeColor="accent5"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2d74b4" w:themeColor="accent5" w:themeTint="9A" w:themeShade="95"/>
        <w:sz w:val="22"/>
      </w:rPr>
      <w:pPr>
        <w:pBdr/>
        <w:spacing/>
        <w:ind/>
      </w:pPr>
      <w:tblPr>
        <w:tblBorders/>
      </w:tbl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2d74b4"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d74b4" w:themeColor="accent5" w:themeTint="9A" w:themeShade="95"/>
        <w:sz w:val="22"/>
      </w:rPr>
      <w:pPr>
        <w:pBdr/>
        <w:spacing/>
        <w:ind/>
      </w:pPr>
      <w:tblPr>
        <w:tblBorders/>
      </w:tblPr>
      <w:tcPr>
        <w:tcBorders/>
      </w:tcPr>
    </w:tblStylePr>
  </w:style>
  <w:style w:type="table" w:styleId="872">
    <w:name w:val="List Table 7 Colorful - Accent 6"/>
    <w:basedOn w:val="949"/>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5e923c"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e923c" w:themeColor="accent6"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e923c" w:themeColor="accent6" w:themeTint="98" w:themeShade="95"/>
        <w:sz w:val="22"/>
      </w:rPr>
      <w:pPr>
        <w:pBdr/>
        <w:spacing/>
        <w:ind/>
      </w:pPr>
      <w:tblPr>
        <w:tblBorders/>
      </w:tbl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5e923c" w:themeColor="accent6" w:themeTint="98" w:themeShade="95"/>
        <w:sz w:val="22"/>
      </w:rPr>
      <w:pPr>
        <w:pBdr/>
        <w:spacing/>
        <w:ind/>
      </w:pPr>
      <w:tblPr>
        <w:tblBorders/>
      </w:tblPr>
      <w:tcPr>
        <w:tcBorders/>
      </w:tcPr>
    </w:tblStylePr>
  </w:style>
  <w:style w:type="table" w:styleId="873">
    <w:name w:val="Lined - Accent"/>
    <w:basedOn w:val="949"/>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4">
    <w:name w:val="Lined - Accent 1"/>
    <w:basedOn w:val="949"/>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4d3ec"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4d3ec"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5">
    <w:name w:val="Lined - Accent 2"/>
    <w:basedOn w:val="949"/>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6">
    <w:name w:val="Lined - Accent 3"/>
    <w:basedOn w:val="949"/>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7">
    <w:name w:val="Lined - Accent 4"/>
    <w:basedOn w:val="949"/>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8">
    <w:name w:val="Lined - Accent 5"/>
    <w:basedOn w:val="949"/>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firstCol">
      <w:rPr>
        <w:rFonts w:ascii="Arial" w:hAnsi="Arial"/>
        <w:color w:val="f2f2f2"/>
        <w:sz w:val="22"/>
      </w:rPr>
      <w:pPr>
        <w:pBdr/>
        <w:spacing/>
        <w:ind/>
      </w:pPr>
      <w:tblPr>
        <w:tblBorders/>
      </w:tblPr>
      <w:tcPr>
        <w:shd w:val="clear" w:color="ffffff" w:themeColor="accent5" w:fill="5b9bd5" w:themeFill="accent5"/>
        <w:tcBorders/>
      </w:tcPr>
    </w:tblStylePr>
    <w:tblStylePr w:type="firstRow">
      <w:rPr>
        <w:rFonts w:ascii="Arial" w:hAnsi="Arial"/>
        <w:color w:val="f2f2f2"/>
        <w:sz w:val="22"/>
      </w:rPr>
      <w:pPr>
        <w:pBdr/>
        <w:spacing/>
        <w:ind/>
      </w:pPr>
      <w:tblPr>
        <w:tblBorders/>
      </w:tblPr>
      <w:tcPr>
        <w:shd w:val="clear" w:color="ffffff" w:themeColor="accent5" w:fill="5b9bd5" w:themeFill="accent5"/>
        <w:tcBorders/>
      </w:tcPr>
    </w:tblStylePr>
    <w:tblStylePr w:type="lastCol">
      <w:rPr>
        <w:rFonts w:ascii="Arial" w:hAnsi="Arial"/>
        <w:color w:val="f2f2f2"/>
        <w:sz w:val="22"/>
      </w:rPr>
      <w:pPr>
        <w:pBdr/>
        <w:spacing/>
        <w:ind/>
      </w:pPr>
      <w:tblPr>
        <w:tblBorders/>
      </w:tblPr>
      <w:tcPr>
        <w:shd w:val="clear" w:color="ffffff" w:themeColor="accent5" w:fill="5b9bd5" w:themeFill="accent5"/>
        <w:tcBorders/>
      </w:tcPr>
    </w:tblStylePr>
    <w:tblStylePr w:type="lastRow">
      <w:rPr>
        <w:rFonts w:ascii="Arial" w:hAnsi="Arial"/>
        <w:color w:val="f2f2f2"/>
        <w:sz w:val="22"/>
      </w:rPr>
      <w:pPr>
        <w:pBdr/>
        <w:spacing/>
        <w:ind/>
      </w:pPr>
      <w:tblPr>
        <w:tblBorders/>
      </w:tblPr>
      <w:tcPr>
        <w:shd w:val="clear" w:color="ffffff" w:themeColor="accent5" w:fill="5b9bd5"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9">
    <w:name w:val="Lined - Accent 6"/>
    <w:basedOn w:val="949"/>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0">
    <w:name w:val="Bordered &amp; Lined - Accent"/>
    <w:basedOn w:val="949"/>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1">
    <w:name w:val="Bordered &amp; Lined - Accent 1"/>
    <w:basedOn w:val="949"/>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4d3ec"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4d3ec"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37ec9"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2">
    <w:name w:val="Bordered &amp; Lined - Accent 2"/>
    <w:basedOn w:val="949"/>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3">
    <w:name w:val="Bordered &amp; Lined - Accent 3"/>
    <w:basedOn w:val="949"/>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4">
    <w:name w:val="Bordered &amp; Lined - Accent 4"/>
    <w:basedOn w:val="949"/>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5">
    <w:name w:val="Bordered &amp; Lined - Accent 5"/>
    <w:basedOn w:val="949"/>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eebf6" w:themeFill="accent5" w:themeFillTint="34"/>
        <w:tcBorders/>
      </w:tcPr>
    </w:tblStylePr>
    <w:tblStylePr w:type="firstCol">
      <w:rPr>
        <w:rFonts w:ascii="Arial" w:hAnsi="Arial"/>
        <w:color w:val="f2f2f2"/>
        <w:sz w:val="22"/>
      </w:rPr>
      <w:pPr>
        <w:pBdr/>
        <w:spacing/>
        <w:ind/>
      </w:pPr>
      <w:tblPr>
        <w:tblBorders/>
      </w:tblPr>
      <w:tcPr>
        <w:shd w:val="clear" w:color="ffffff" w:themeColor="accent5" w:fill="5b9bd5" w:themeFill="accent5"/>
        <w:tcBorders/>
      </w:tcPr>
    </w:tblStylePr>
    <w:tblStylePr w:type="firstRow">
      <w:rPr>
        <w:rFonts w:ascii="Arial" w:hAnsi="Arial"/>
        <w:color w:val="f2f2f2"/>
        <w:sz w:val="22"/>
      </w:rPr>
      <w:pPr>
        <w:pBdr/>
        <w:spacing/>
        <w:ind/>
      </w:pPr>
      <w:tblPr>
        <w:tblBorders/>
      </w:tblPr>
      <w:tcPr>
        <w:shd w:val="clear" w:color="ffffff" w:themeColor="accent5" w:fill="5b9bd5" w:themeFill="accent5"/>
        <w:tcBorders/>
      </w:tcPr>
    </w:tblStylePr>
    <w:tblStylePr w:type="lastCol">
      <w:rPr>
        <w:rFonts w:ascii="Arial" w:hAnsi="Arial"/>
        <w:color w:val="f2f2f2"/>
        <w:sz w:val="22"/>
      </w:rPr>
      <w:pPr>
        <w:pBdr/>
        <w:spacing/>
        <w:ind/>
      </w:pPr>
      <w:tblPr>
        <w:tblBorders/>
      </w:tblPr>
      <w:tcPr>
        <w:shd w:val="clear" w:color="ffffff" w:themeColor="accent5" w:fill="5b9bd5" w:themeFill="accent5"/>
        <w:tcBorders/>
      </w:tcPr>
    </w:tblStylePr>
    <w:tblStylePr w:type="lastRow">
      <w:rPr>
        <w:rFonts w:ascii="Arial" w:hAnsi="Arial"/>
        <w:color w:val="f2f2f2"/>
        <w:sz w:val="22"/>
      </w:rPr>
      <w:pPr>
        <w:pBdr/>
        <w:spacing/>
        <w:ind/>
      </w:pPr>
      <w:tblPr>
        <w:tblBorders/>
      </w:tblPr>
      <w:tcPr>
        <w:shd w:val="clear" w:color="ffffff" w:themeColor="accent5" w:fill="5b9bd5"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6">
    <w:name w:val="Bordered &amp; Lined - Accent 6"/>
    <w:basedOn w:val="949"/>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7">
    <w:name w:val="Bordered"/>
    <w:basedOn w:val="949"/>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8">
    <w:name w:val="Bordered - Accent 1"/>
    <w:basedOn w:val="949"/>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9">
    <w:name w:val="Bordered - Accent 2"/>
    <w:basedOn w:val="949"/>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0">
    <w:name w:val="Bordered - Accent 3"/>
    <w:basedOn w:val="949"/>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1">
    <w:name w:val="Bordered - Accent 4"/>
    <w:basedOn w:val="949"/>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2">
    <w:name w:val="Bordered - Accent 5"/>
    <w:basedOn w:val="949"/>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3">
    <w:name w:val="Bordered - Accent 6"/>
    <w:basedOn w:val="949"/>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894">
    <w:name w:val="Heading 5"/>
    <w:basedOn w:val="943"/>
    <w:next w:val="943"/>
    <w:link w:val="903"/>
    <w:uiPriority w:val="9"/>
    <w:unhideWhenUsed/>
    <w:qFormat/>
    <w:pPr>
      <w:keepNext w:val="true"/>
      <w:keepLines w:val="true"/>
      <w:pBdr/>
      <w:spacing w:after="40" w:before="80"/>
      <w:ind/>
      <w:outlineLvl w:val="4"/>
    </w:pPr>
    <w:rPr>
      <w:rFonts w:ascii="Arial" w:hAnsi="Arial" w:eastAsia="Arial" w:cs="Arial"/>
      <w:color w:val="0f4761" w:themeColor="accent1" w:themeShade="BF"/>
    </w:rPr>
  </w:style>
  <w:style w:type="paragraph" w:styleId="895">
    <w:name w:val="Heading 6"/>
    <w:basedOn w:val="943"/>
    <w:next w:val="943"/>
    <w:link w:val="904"/>
    <w:uiPriority w:val="9"/>
    <w:unhideWhenUsed/>
    <w:qFormat/>
    <w:pPr>
      <w:keepNext w:val="true"/>
      <w:keepLines w:val="true"/>
      <w:pBdr/>
      <w:spacing w:after="0" w:before="40"/>
      <w:ind/>
      <w:outlineLvl w:val="5"/>
    </w:pPr>
    <w:rPr>
      <w:rFonts w:ascii="Arial" w:hAnsi="Arial" w:eastAsia="Arial" w:cs="Arial"/>
      <w:i/>
      <w:iCs/>
      <w:color w:val="595959" w:themeColor="text1" w:themeTint="A6"/>
    </w:rPr>
  </w:style>
  <w:style w:type="paragraph" w:styleId="896">
    <w:name w:val="Heading 7"/>
    <w:basedOn w:val="943"/>
    <w:next w:val="943"/>
    <w:link w:val="905"/>
    <w:uiPriority w:val="9"/>
    <w:unhideWhenUsed/>
    <w:qFormat/>
    <w:pPr>
      <w:keepNext w:val="true"/>
      <w:keepLines w:val="true"/>
      <w:pBdr/>
      <w:spacing w:after="0" w:before="40"/>
      <w:ind/>
      <w:outlineLvl w:val="6"/>
    </w:pPr>
    <w:rPr>
      <w:rFonts w:ascii="Arial" w:hAnsi="Arial" w:eastAsia="Arial" w:cs="Arial"/>
      <w:color w:val="595959" w:themeColor="text1" w:themeTint="A6"/>
    </w:rPr>
  </w:style>
  <w:style w:type="paragraph" w:styleId="897">
    <w:name w:val="Heading 8"/>
    <w:basedOn w:val="943"/>
    <w:next w:val="943"/>
    <w:link w:val="906"/>
    <w:uiPriority w:val="9"/>
    <w:unhideWhenUsed/>
    <w:qFormat/>
    <w:pPr>
      <w:keepNext w:val="true"/>
      <w:keepLines w:val="true"/>
      <w:pBdr/>
      <w:spacing w:after="0"/>
      <w:ind/>
      <w:outlineLvl w:val="7"/>
    </w:pPr>
    <w:rPr>
      <w:rFonts w:ascii="Arial" w:hAnsi="Arial" w:eastAsia="Arial" w:cs="Arial"/>
      <w:i/>
      <w:iCs/>
      <w:color w:val="272727" w:themeColor="text1" w:themeTint="D8"/>
    </w:rPr>
  </w:style>
  <w:style w:type="paragraph" w:styleId="898">
    <w:name w:val="Heading 9"/>
    <w:basedOn w:val="943"/>
    <w:next w:val="943"/>
    <w:link w:val="907"/>
    <w:uiPriority w:val="9"/>
    <w:unhideWhenUsed/>
    <w:qFormat/>
    <w:pPr>
      <w:keepNext w:val="true"/>
      <w:keepLines w:val="true"/>
      <w:pBdr/>
      <w:spacing w:after="0"/>
      <w:ind/>
      <w:outlineLvl w:val="8"/>
    </w:pPr>
    <w:rPr>
      <w:rFonts w:ascii="Arial" w:hAnsi="Arial" w:eastAsia="Arial" w:cs="Arial"/>
      <w:i/>
      <w:iCs/>
      <w:color w:val="272727" w:themeColor="text1" w:themeTint="D8"/>
    </w:rPr>
  </w:style>
  <w:style w:type="character" w:styleId="899">
    <w:name w:val="Heading 1 Char"/>
    <w:basedOn w:val="948"/>
    <w:link w:val="944"/>
    <w:uiPriority w:val="9"/>
    <w:pPr>
      <w:pBdr/>
      <w:spacing/>
      <w:ind/>
    </w:pPr>
    <w:rPr>
      <w:rFonts w:ascii="Arial" w:hAnsi="Arial" w:eastAsia="Arial" w:cs="Arial"/>
      <w:color w:val="0f4761" w:themeColor="accent1" w:themeShade="BF"/>
      <w:sz w:val="40"/>
      <w:szCs w:val="40"/>
    </w:rPr>
  </w:style>
  <w:style w:type="character" w:styleId="900">
    <w:name w:val="Heading 2 Char"/>
    <w:basedOn w:val="948"/>
    <w:link w:val="945"/>
    <w:uiPriority w:val="9"/>
    <w:pPr>
      <w:pBdr/>
      <w:spacing/>
      <w:ind/>
    </w:pPr>
    <w:rPr>
      <w:rFonts w:ascii="Arial" w:hAnsi="Arial" w:eastAsia="Arial" w:cs="Arial"/>
      <w:color w:val="0f4761" w:themeColor="accent1" w:themeShade="BF"/>
      <w:sz w:val="32"/>
      <w:szCs w:val="32"/>
    </w:rPr>
  </w:style>
  <w:style w:type="character" w:styleId="901">
    <w:name w:val="Heading 3 Char"/>
    <w:basedOn w:val="948"/>
    <w:link w:val="946"/>
    <w:uiPriority w:val="9"/>
    <w:pPr>
      <w:pBdr/>
      <w:spacing/>
      <w:ind/>
    </w:pPr>
    <w:rPr>
      <w:rFonts w:ascii="Arial" w:hAnsi="Arial" w:eastAsia="Arial" w:cs="Arial"/>
      <w:color w:val="0f4761" w:themeColor="accent1" w:themeShade="BF"/>
      <w:sz w:val="28"/>
      <w:szCs w:val="28"/>
    </w:rPr>
  </w:style>
  <w:style w:type="character" w:styleId="902">
    <w:name w:val="Heading 4 Char"/>
    <w:basedOn w:val="948"/>
    <w:link w:val="947"/>
    <w:uiPriority w:val="9"/>
    <w:pPr>
      <w:pBdr/>
      <w:spacing/>
      <w:ind/>
    </w:pPr>
    <w:rPr>
      <w:rFonts w:ascii="Arial" w:hAnsi="Arial" w:eastAsia="Arial" w:cs="Arial"/>
      <w:i/>
      <w:iCs/>
      <w:color w:val="0f4761" w:themeColor="accent1" w:themeShade="BF"/>
    </w:rPr>
  </w:style>
  <w:style w:type="character" w:styleId="903">
    <w:name w:val="Heading 5 Char"/>
    <w:basedOn w:val="948"/>
    <w:link w:val="894"/>
    <w:uiPriority w:val="9"/>
    <w:pPr>
      <w:pBdr/>
      <w:spacing/>
      <w:ind/>
    </w:pPr>
    <w:rPr>
      <w:rFonts w:ascii="Arial" w:hAnsi="Arial" w:eastAsia="Arial" w:cs="Arial"/>
      <w:color w:val="0f4761" w:themeColor="accent1" w:themeShade="BF"/>
    </w:rPr>
  </w:style>
  <w:style w:type="character" w:styleId="904">
    <w:name w:val="Heading 6 Char"/>
    <w:basedOn w:val="948"/>
    <w:link w:val="895"/>
    <w:uiPriority w:val="9"/>
    <w:pPr>
      <w:pBdr/>
      <w:spacing/>
      <w:ind/>
    </w:pPr>
    <w:rPr>
      <w:rFonts w:ascii="Arial" w:hAnsi="Arial" w:eastAsia="Arial" w:cs="Arial"/>
      <w:i/>
      <w:iCs/>
      <w:color w:val="595959" w:themeColor="text1" w:themeTint="A6"/>
    </w:rPr>
  </w:style>
  <w:style w:type="character" w:styleId="905">
    <w:name w:val="Heading 7 Char"/>
    <w:basedOn w:val="948"/>
    <w:link w:val="896"/>
    <w:uiPriority w:val="9"/>
    <w:pPr>
      <w:pBdr/>
      <w:spacing/>
      <w:ind/>
    </w:pPr>
    <w:rPr>
      <w:rFonts w:ascii="Arial" w:hAnsi="Arial" w:eastAsia="Arial" w:cs="Arial"/>
      <w:color w:val="595959" w:themeColor="text1" w:themeTint="A6"/>
    </w:rPr>
  </w:style>
  <w:style w:type="character" w:styleId="906">
    <w:name w:val="Heading 8 Char"/>
    <w:basedOn w:val="948"/>
    <w:link w:val="897"/>
    <w:uiPriority w:val="9"/>
    <w:pPr>
      <w:pBdr/>
      <w:spacing/>
      <w:ind/>
    </w:pPr>
    <w:rPr>
      <w:rFonts w:ascii="Arial" w:hAnsi="Arial" w:eastAsia="Arial" w:cs="Arial"/>
      <w:i/>
      <w:iCs/>
      <w:color w:val="272727" w:themeColor="text1" w:themeTint="D8"/>
    </w:rPr>
  </w:style>
  <w:style w:type="character" w:styleId="907">
    <w:name w:val="Heading 9 Char"/>
    <w:basedOn w:val="948"/>
    <w:link w:val="898"/>
    <w:uiPriority w:val="9"/>
    <w:pPr>
      <w:pBdr/>
      <w:spacing/>
      <w:ind/>
    </w:pPr>
    <w:rPr>
      <w:rFonts w:ascii="Arial" w:hAnsi="Arial" w:eastAsia="Arial" w:cs="Arial"/>
      <w:i/>
      <w:iCs/>
      <w:color w:val="272727" w:themeColor="text1" w:themeTint="D8"/>
    </w:rPr>
  </w:style>
  <w:style w:type="character" w:styleId="908">
    <w:name w:val="Title Char"/>
    <w:basedOn w:val="948"/>
    <w:link w:val="954"/>
    <w:uiPriority w:val="10"/>
    <w:pPr>
      <w:pBdr/>
      <w:spacing/>
      <w:ind/>
    </w:pPr>
    <w:rPr>
      <w:rFonts w:ascii="Arial" w:hAnsi="Arial" w:eastAsia="Arial" w:cs="Arial"/>
      <w:spacing w:val="-10"/>
      <w:sz w:val="56"/>
      <w:szCs w:val="56"/>
    </w:rPr>
  </w:style>
  <w:style w:type="paragraph" w:styleId="909">
    <w:name w:val="Subtitle"/>
    <w:basedOn w:val="943"/>
    <w:next w:val="943"/>
    <w:link w:val="910"/>
    <w:uiPriority w:val="11"/>
    <w:qFormat/>
    <w:pPr>
      <w:numPr>
        <w:ilvl w:val="1"/>
      </w:numPr>
      <w:pBdr/>
      <w:spacing/>
      <w:ind/>
    </w:pPr>
    <w:rPr>
      <w:color w:val="595959" w:themeColor="text1" w:themeTint="A6"/>
      <w:spacing w:val="15"/>
      <w:sz w:val="28"/>
      <w:szCs w:val="28"/>
    </w:rPr>
  </w:style>
  <w:style w:type="character" w:styleId="910">
    <w:name w:val="Subtitle Char"/>
    <w:basedOn w:val="948"/>
    <w:link w:val="909"/>
    <w:uiPriority w:val="11"/>
    <w:pPr>
      <w:pBdr/>
      <w:spacing/>
      <w:ind/>
    </w:pPr>
    <w:rPr>
      <w:color w:val="595959" w:themeColor="text1" w:themeTint="A6"/>
      <w:spacing w:val="15"/>
      <w:sz w:val="28"/>
      <w:szCs w:val="28"/>
    </w:rPr>
  </w:style>
  <w:style w:type="paragraph" w:styleId="911">
    <w:name w:val="Quote"/>
    <w:basedOn w:val="943"/>
    <w:next w:val="943"/>
    <w:link w:val="912"/>
    <w:uiPriority w:val="29"/>
    <w:qFormat/>
    <w:pPr>
      <w:pBdr/>
      <w:spacing w:before="160"/>
      <w:ind/>
      <w:jc w:val="center"/>
    </w:pPr>
    <w:rPr>
      <w:i/>
      <w:iCs/>
      <w:color w:val="404040" w:themeColor="text1" w:themeTint="BF"/>
    </w:rPr>
  </w:style>
  <w:style w:type="character" w:styleId="912">
    <w:name w:val="Quote Char"/>
    <w:basedOn w:val="948"/>
    <w:link w:val="911"/>
    <w:uiPriority w:val="29"/>
    <w:pPr>
      <w:pBdr/>
      <w:spacing/>
      <w:ind/>
    </w:pPr>
    <w:rPr>
      <w:i/>
      <w:iCs/>
      <w:color w:val="404040" w:themeColor="text1" w:themeTint="BF"/>
    </w:rPr>
  </w:style>
  <w:style w:type="character" w:styleId="913">
    <w:name w:val="Intense Emphasis"/>
    <w:basedOn w:val="948"/>
    <w:uiPriority w:val="21"/>
    <w:qFormat/>
    <w:pPr>
      <w:pBdr/>
      <w:spacing/>
      <w:ind/>
    </w:pPr>
    <w:rPr>
      <w:i/>
      <w:iCs/>
      <w:color w:val="0f4761" w:themeColor="accent1" w:themeShade="BF"/>
    </w:rPr>
  </w:style>
  <w:style w:type="paragraph" w:styleId="914">
    <w:name w:val="Intense Quote"/>
    <w:basedOn w:val="943"/>
    <w:next w:val="943"/>
    <w:link w:val="915"/>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915">
    <w:name w:val="Intense Quote Char"/>
    <w:basedOn w:val="948"/>
    <w:link w:val="914"/>
    <w:uiPriority w:val="30"/>
    <w:pPr>
      <w:pBdr/>
      <w:spacing/>
      <w:ind/>
    </w:pPr>
    <w:rPr>
      <w:i/>
      <w:iCs/>
      <w:color w:val="0f4761" w:themeColor="accent1" w:themeShade="BF"/>
    </w:rPr>
  </w:style>
  <w:style w:type="character" w:styleId="916">
    <w:name w:val="Intense Reference"/>
    <w:basedOn w:val="948"/>
    <w:uiPriority w:val="32"/>
    <w:qFormat/>
    <w:pPr>
      <w:pBdr/>
      <w:spacing/>
      <w:ind/>
    </w:pPr>
    <w:rPr>
      <w:b/>
      <w:bCs/>
      <w:smallCaps/>
      <w:color w:val="0f4761" w:themeColor="accent1" w:themeShade="BF"/>
      <w:spacing w:val="5"/>
    </w:rPr>
  </w:style>
  <w:style w:type="character" w:styleId="917">
    <w:name w:val="Subtle Emphasis"/>
    <w:basedOn w:val="948"/>
    <w:uiPriority w:val="19"/>
    <w:qFormat/>
    <w:pPr>
      <w:pBdr/>
      <w:spacing/>
      <w:ind/>
    </w:pPr>
    <w:rPr>
      <w:i/>
      <w:iCs/>
      <w:color w:val="404040" w:themeColor="text1" w:themeTint="BF"/>
    </w:rPr>
  </w:style>
  <w:style w:type="character" w:styleId="918">
    <w:name w:val="Emphasis"/>
    <w:basedOn w:val="948"/>
    <w:uiPriority w:val="20"/>
    <w:qFormat/>
    <w:pPr>
      <w:pBdr/>
      <w:spacing/>
      <w:ind/>
    </w:pPr>
    <w:rPr>
      <w:i/>
      <w:iCs/>
    </w:rPr>
  </w:style>
  <w:style w:type="character" w:styleId="919">
    <w:name w:val="Subtle Reference"/>
    <w:basedOn w:val="948"/>
    <w:uiPriority w:val="31"/>
    <w:qFormat/>
    <w:pPr>
      <w:pBdr/>
      <w:spacing/>
      <w:ind/>
    </w:pPr>
    <w:rPr>
      <w:smallCaps/>
      <w:color w:val="5a5a5a" w:themeColor="text1" w:themeTint="A5"/>
    </w:rPr>
  </w:style>
  <w:style w:type="character" w:styleId="920">
    <w:name w:val="Book Title"/>
    <w:basedOn w:val="948"/>
    <w:uiPriority w:val="33"/>
    <w:qFormat/>
    <w:pPr>
      <w:pBdr/>
      <w:spacing/>
      <w:ind/>
    </w:pPr>
    <w:rPr>
      <w:b/>
      <w:bCs/>
      <w:i/>
      <w:iCs/>
      <w:spacing w:val="5"/>
    </w:rPr>
  </w:style>
  <w:style w:type="paragraph" w:styleId="921">
    <w:name w:val="Header"/>
    <w:basedOn w:val="943"/>
    <w:link w:val="922"/>
    <w:uiPriority w:val="99"/>
    <w:unhideWhenUsed/>
    <w:pPr>
      <w:pBdr/>
      <w:tabs>
        <w:tab w:val="center" w:leader="none" w:pos="4844"/>
        <w:tab w:val="right" w:leader="none" w:pos="9689"/>
      </w:tabs>
      <w:spacing w:after="0" w:line="240" w:lineRule="auto"/>
      <w:ind/>
    </w:pPr>
  </w:style>
  <w:style w:type="character" w:styleId="922">
    <w:name w:val="Header Char"/>
    <w:basedOn w:val="948"/>
    <w:link w:val="921"/>
    <w:uiPriority w:val="99"/>
    <w:pPr>
      <w:pBdr/>
      <w:spacing/>
      <w:ind/>
    </w:pPr>
  </w:style>
  <w:style w:type="paragraph" w:styleId="923">
    <w:name w:val="Footer"/>
    <w:basedOn w:val="943"/>
    <w:link w:val="924"/>
    <w:uiPriority w:val="99"/>
    <w:unhideWhenUsed/>
    <w:pPr>
      <w:pBdr/>
      <w:tabs>
        <w:tab w:val="center" w:leader="none" w:pos="4844"/>
        <w:tab w:val="right" w:leader="none" w:pos="9689"/>
      </w:tabs>
      <w:spacing w:after="0" w:line="240" w:lineRule="auto"/>
      <w:ind/>
    </w:pPr>
  </w:style>
  <w:style w:type="character" w:styleId="924">
    <w:name w:val="Footer Char"/>
    <w:basedOn w:val="948"/>
    <w:link w:val="923"/>
    <w:uiPriority w:val="99"/>
    <w:pPr>
      <w:pBdr/>
      <w:spacing/>
      <w:ind/>
    </w:pPr>
  </w:style>
  <w:style w:type="paragraph" w:styleId="925">
    <w:name w:val="Caption"/>
    <w:basedOn w:val="943"/>
    <w:next w:val="943"/>
    <w:uiPriority w:val="35"/>
    <w:unhideWhenUsed/>
    <w:qFormat/>
    <w:pPr>
      <w:pBdr/>
      <w:spacing w:after="200" w:line="240" w:lineRule="auto"/>
      <w:ind/>
    </w:pPr>
    <w:rPr>
      <w:i/>
      <w:iCs/>
      <w:color w:val="0e2841" w:themeColor="text2"/>
      <w:sz w:val="18"/>
      <w:szCs w:val="18"/>
    </w:rPr>
  </w:style>
  <w:style w:type="character" w:styleId="926">
    <w:name w:val="Footnote Text Char"/>
    <w:basedOn w:val="948"/>
    <w:link w:val="969"/>
    <w:uiPriority w:val="99"/>
    <w:semiHidden/>
    <w:pPr>
      <w:pBdr/>
      <w:spacing/>
      <w:ind/>
    </w:pPr>
    <w:rPr>
      <w:sz w:val="20"/>
      <w:szCs w:val="20"/>
    </w:rPr>
  </w:style>
  <w:style w:type="paragraph" w:styleId="927">
    <w:name w:val="endnote text"/>
    <w:basedOn w:val="943"/>
    <w:link w:val="928"/>
    <w:uiPriority w:val="99"/>
    <w:semiHidden/>
    <w:unhideWhenUsed/>
    <w:pPr>
      <w:pBdr/>
      <w:spacing w:after="0" w:line="240" w:lineRule="auto"/>
      <w:ind/>
    </w:pPr>
    <w:rPr>
      <w:sz w:val="20"/>
      <w:szCs w:val="20"/>
    </w:rPr>
  </w:style>
  <w:style w:type="character" w:styleId="928">
    <w:name w:val="Endnote Text Char"/>
    <w:basedOn w:val="948"/>
    <w:link w:val="927"/>
    <w:uiPriority w:val="99"/>
    <w:semiHidden/>
    <w:pPr>
      <w:pBdr/>
      <w:spacing/>
      <w:ind/>
    </w:pPr>
    <w:rPr>
      <w:sz w:val="20"/>
      <w:szCs w:val="20"/>
    </w:rPr>
  </w:style>
  <w:style w:type="character" w:styleId="929">
    <w:name w:val="endnote reference"/>
    <w:basedOn w:val="948"/>
    <w:uiPriority w:val="99"/>
    <w:semiHidden/>
    <w:unhideWhenUsed/>
    <w:pPr>
      <w:pBdr/>
      <w:spacing/>
      <w:ind/>
    </w:pPr>
    <w:rPr>
      <w:vertAlign w:val="superscript"/>
    </w:rPr>
  </w:style>
  <w:style w:type="character" w:styleId="930">
    <w:name w:val="FollowedHyperlink"/>
    <w:basedOn w:val="948"/>
    <w:uiPriority w:val="99"/>
    <w:semiHidden/>
    <w:unhideWhenUsed/>
    <w:pPr>
      <w:pBdr/>
      <w:spacing/>
      <w:ind/>
    </w:pPr>
    <w:rPr>
      <w:color w:val="954f72" w:themeColor="followedHyperlink"/>
      <w:u w:val="single"/>
    </w:rPr>
  </w:style>
  <w:style w:type="paragraph" w:styleId="931">
    <w:name w:val="toc 1"/>
    <w:basedOn w:val="943"/>
    <w:next w:val="943"/>
    <w:uiPriority w:val="39"/>
    <w:unhideWhenUsed/>
    <w:pPr>
      <w:pBdr/>
      <w:spacing w:after="100"/>
      <w:ind/>
    </w:pPr>
  </w:style>
  <w:style w:type="paragraph" w:styleId="932">
    <w:name w:val="toc 2"/>
    <w:basedOn w:val="943"/>
    <w:next w:val="943"/>
    <w:uiPriority w:val="39"/>
    <w:unhideWhenUsed/>
    <w:pPr>
      <w:pBdr/>
      <w:spacing w:after="100"/>
      <w:ind w:left="220"/>
    </w:pPr>
  </w:style>
  <w:style w:type="paragraph" w:styleId="933">
    <w:name w:val="toc 3"/>
    <w:basedOn w:val="943"/>
    <w:next w:val="943"/>
    <w:uiPriority w:val="39"/>
    <w:unhideWhenUsed/>
    <w:pPr>
      <w:pBdr/>
      <w:spacing w:after="100"/>
      <w:ind w:left="440"/>
    </w:pPr>
  </w:style>
  <w:style w:type="paragraph" w:styleId="934">
    <w:name w:val="toc 4"/>
    <w:basedOn w:val="943"/>
    <w:next w:val="943"/>
    <w:uiPriority w:val="39"/>
    <w:unhideWhenUsed/>
    <w:pPr>
      <w:pBdr/>
      <w:spacing w:after="100"/>
      <w:ind w:left="660"/>
    </w:pPr>
  </w:style>
  <w:style w:type="paragraph" w:styleId="935">
    <w:name w:val="toc 5"/>
    <w:basedOn w:val="943"/>
    <w:next w:val="943"/>
    <w:uiPriority w:val="39"/>
    <w:unhideWhenUsed/>
    <w:pPr>
      <w:pBdr/>
      <w:spacing w:after="100"/>
      <w:ind w:left="880"/>
    </w:pPr>
  </w:style>
  <w:style w:type="paragraph" w:styleId="936">
    <w:name w:val="toc 6"/>
    <w:basedOn w:val="943"/>
    <w:next w:val="943"/>
    <w:uiPriority w:val="39"/>
    <w:unhideWhenUsed/>
    <w:pPr>
      <w:pBdr/>
      <w:spacing w:after="100"/>
      <w:ind w:left="1100"/>
    </w:pPr>
  </w:style>
  <w:style w:type="paragraph" w:styleId="937">
    <w:name w:val="toc 7"/>
    <w:basedOn w:val="943"/>
    <w:next w:val="943"/>
    <w:uiPriority w:val="39"/>
    <w:unhideWhenUsed/>
    <w:pPr>
      <w:pBdr/>
      <w:spacing w:after="100"/>
      <w:ind w:left="1320"/>
    </w:pPr>
  </w:style>
  <w:style w:type="paragraph" w:styleId="938">
    <w:name w:val="toc 8"/>
    <w:basedOn w:val="943"/>
    <w:next w:val="943"/>
    <w:uiPriority w:val="39"/>
    <w:unhideWhenUsed/>
    <w:pPr>
      <w:pBdr/>
      <w:spacing w:after="100"/>
      <w:ind w:left="1540"/>
    </w:pPr>
  </w:style>
  <w:style w:type="paragraph" w:styleId="939">
    <w:name w:val="toc 9"/>
    <w:basedOn w:val="943"/>
    <w:next w:val="943"/>
    <w:uiPriority w:val="39"/>
    <w:unhideWhenUsed/>
    <w:pPr>
      <w:pBdr/>
      <w:spacing w:after="100"/>
      <w:ind w:left="1760"/>
    </w:pPr>
  </w:style>
  <w:style w:type="character" w:styleId="940">
    <w:name w:val="Placeholder Text"/>
    <w:basedOn w:val="948"/>
    <w:uiPriority w:val="99"/>
    <w:semiHidden/>
    <w:pPr>
      <w:pBdr/>
      <w:spacing/>
      <w:ind/>
    </w:pPr>
    <w:rPr>
      <w:color w:val="666666"/>
    </w:rPr>
  </w:style>
  <w:style w:type="paragraph" w:styleId="941">
    <w:name w:val="TOC Heading"/>
    <w:uiPriority w:val="39"/>
    <w:unhideWhenUsed/>
    <w:pPr>
      <w:pBdr/>
      <w:spacing/>
      <w:ind/>
    </w:pPr>
  </w:style>
  <w:style w:type="paragraph" w:styleId="942">
    <w:name w:val="table of figures"/>
    <w:basedOn w:val="943"/>
    <w:next w:val="943"/>
    <w:uiPriority w:val="99"/>
    <w:unhideWhenUsed/>
    <w:pPr>
      <w:pBdr/>
      <w:spacing w:after="0" w:afterAutospacing="0"/>
      <w:ind/>
    </w:pPr>
  </w:style>
  <w:style w:type="paragraph" w:styleId="943" w:default="1">
    <w:name w:val="Normal"/>
    <w:qFormat/>
    <w:pPr>
      <w:pBdr/>
      <w:spacing w:after="160" w:line="259" w:lineRule="auto"/>
      <w:ind/>
    </w:pPr>
    <w:rPr>
      <w:sz w:val="22"/>
      <w:szCs w:val="22"/>
      <w:lang w:eastAsia="en-US"/>
    </w:rPr>
  </w:style>
  <w:style w:type="paragraph" w:styleId="944">
    <w:name w:val="Heading 1"/>
    <w:basedOn w:val="943"/>
    <w:next w:val="943"/>
    <w:link w:val="953"/>
    <w:uiPriority w:val="9"/>
    <w:qFormat/>
    <w:pPr>
      <w:keepNext w:val="true"/>
      <w:keepLines w:val="true"/>
      <w:pBdr/>
      <w:spacing w:after="0" w:before="240"/>
      <w:ind/>
      <w:outlineLvl w:val="0"/>
    </w:pPr>
    <w:rPr>
      <w:rFonts w:ascii="Calibri Light" w:hAnsi="Calibri Light" w:eastAsia="Times New Roman"/>
      <w:color w:val="2e74b5"/>
      <w:sz w:val="32"/>
      <w:szCs w:val="32"/>
    </w:rPr>
  </w:style>
  <w:style w:type="paragraph" w:styleId="945">
    <w:name w:val="Heading 2"/>
    <w:basedOn w:val="943"/>
    <w:next w:val="943"/>
    <w:link w:val="963"/>
    <w:uiPriority w:val="9"/>
    <w:semiHidden/>
    <w:unhideWhenUsed/>
    <w:qFormat/>
    <w:pPr>
      <w:keepNext w:val="true"/>
      <w:keepLines w:val="true"/>
      <w:pBdr/>
      <w:spacing w:after="0" w:before="40"/>
      <w:ind/>
      <w:outlineLvl w:val="1"/>
    </w:pPr>
    <w:rPr>
      <w:rFonts w:asciiTheme="majorHAnsi" w:hAnsiTheme="majorHAnsi" w:eastAsiaTheme="majorEastAsia" w:cstheme="majorBidi"/>
      <w:color w:val="2f5496" w:themeColor="accent1" w:themeShade="BF"/>
      <w:sz w:val="26"/>
      <w:szCs w:val="26"/>
    </w:rPr>
  </w:style>
  <w:style w:type="paragraph" w:styleId="946">
    <w:name w:val="Heading 3"/>
    <w:basedOn w:val="943"/>
    <w:next w:val="943"/>
    <w:link w:val="958"/>
    <w:uiPriority w:val="9"/>
    <w:semiHidden/>
    <w:unhideWhenUsed/>
    <w:qFormat/>
    <w:pPr>
      <w:keepNext w:val="true"/>
      <w:keepLines w:val="true"/>
      <w:pBdr/>
      <w:spacing w:after="0" w:before="40"/>
      <w:ind/>
      <w:outlineLvl w:val="2"/>
    </w:pPr>
    <w:rPr>
      <w:rFonts w:asciiTheme="majorHAnsi" w:hAnsiTheme="majorHAnsi" w:eastAsiaTheme="majorEastAsia" w:cstheme="majorBidi"/>
      <w:color w:val="1f3763" w:themeColor="accent1" w:themeShade="7F"/>
      <w:sz w:val="24"/>
      <w:szCs w:val="24"/>
    </w:rPr>
  </w:style>
  <w:style w:type="paragraph" w:styleId="947">
    <w:name w:val="Heading 4"/>
    <w:basedOn w:val="943"/>
    <w:next w:val="943"/>
    <w:link w:val="960"/>
    <w:uiPriority w:val="9"/>
    <w:semiHidden/>
    <w:unhideWhenUsed/>
    <w:qFormat/>
    <w:pPr>
      <w:keepNext w:val="true"/>
      <w:keepLines w:val="true"/>
      <w:pBdr/>
      <w:spacing w:after="0" w:before="40"/>
      <w:ind/>
      <w:outlineLvl w:val="3"/>
    </w:pPr>
    <w:rPr>
      <w:rFonts w:asciiTheme="majorHAnsi" w:hAnsiTheme="majorHAnsi" w:eastAsiaTheme="majorEastAsia" w:cstheme="majorBidi"/>
      <w:i/>
      <w:iCs/>
      <w:color w:val="2f5496" w:themeColor="accent1" w:themeShade="BF"/>
    </w:rPr>
  </w:style>
  <w:style w:type="character" w:styleId="948" w:default="1">
    <w:name w:val="Default Paragraph Font"/>
    <w:uiPriority w:val="1"/>
    <w:semiHidden/>
    <w:unhideWhenUsed/>
    <w:pPr>
      <w:pBdr/>
      <w:spacing/>
      <w:ind/>
    </w:pPr>
  </w:style>
  <w:style w:type="table" w:styleId="949" w:default="1">
    <w:name w:val="Normal Table"/>
    <w:uiPriority w:val="99"/>
    <w:semiHidden/>
    <w:unhideWhenUsed/>
    <w:pPr>
      <w:pBdr/>
      <w:spacing/>
      <w:ind/>
    </w:pPr>
    <w:tblPr>
      <w:tblInd w:w="0" w:type="dxa"/>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950" w:default="1">
    <w:name w:val="No List"/>
    <w:uiPriority w:val="99"/>
    <w:semiHidden/>
    <w:unhideWhenUsed/>
    <w:pPr>
      <w:pBdr/>
      <w:spacing/>
      <w:ind/>
    </w:pPr>
  </w:style>
  <w:style w:type="paragraph" w:styleId="951">
    <w:name w:val="Normal (Web)"/>
    <w:basedOn w:val="943"/>
    <w:uiPriority w:val="99"/>
    <w:semiHidden/>
    <w:unhideWhenUsed/>
    <w:pPr>
      <w:pBdr/>
      <w:spacing w:after="100" w:afterAutospacing="1" w:before="100" w:beforeAutospacing="1" w:line="240" w:lineRule="auto"/>
      <w:ind/>
    </w:pPr>
    <w:rPr>
      <w:rFonts w:ascii="Times New Roman" w:hAnsi="Times New Roman" w:eastAsia="Times New Roman"/>
      <w:sz w:val="24"/>
      <w:szCs w:val="24"/>
      <w:lang w:eastAsia="pt-BR"/>
    </w:rPr>
  </w:style>
  <w:style w:type="paragraph" w:styleId="952">
    <w:name w:val="No Spacing"/>
    <w:uiPriority w:val="1"/>
    <w:qFormat/>
    <w:pPr>
      <w:pBdr/>
      <w:spacing/>
      <w:ind/>
    </w:pPr>
    <w:rPr>
      <w:sz w:val="22"/>
      <w:szCs w:val="22"/>
      <w:lang w:eastAsia="en-US"/>
    </w:rPr>
  </w:style>
  <w:style w:type="character" w:styleId="953" w:customStyle="1">
    <w:name w:val="Título 1 Char"/>
    <w:link w:val="944"/>
    <w:uiPriority w:val="9"/>
    <w:pPr>
      <w:pBdr/>
      <w:spacing/>
      <w:ind/>
    </w:pPr>
    <w:rPr>
      <w:rFonts w:ascii="Calibri Light" w:hAnsi="Calibri Light" w:eastAsia="Times New Roman" w:cs="Times New Roman"/>
      <w:color w:val="2e74b5"/>
      <w:sz w:val="32"/>
      <w:szCs w:val="32"/>
    </w:rPr>
  </w:style>
  <w:style w:type="paragraph" w:styleId="954">
    <w:name w:val="Title"/>
    <w:basedOn w:val="943"/>
    <w:next w:val="943"/>
    <w:link w:val="955"/>
    <w:uiPriority w:val="10"/>
    <w:qFormat/>
    <w:pPr>
      <w:pBdr/>
      <w:spacing w:after="0" w:line="240" w:lineRule="auto"/>
      <w:ind/>
      <w:contextualSpacing w:val="true"/>
    </w:pPr>
    <w:rPr>
      <w:rFonts w:ascii="Calibri Light" w:hAnsi="Calibri Light" w:eastAsia="Times New Roman"/>
      <w:spacing w:val="-10"/>
      <w:sz w:val="56"/>
      <w:szCs w:val="56"/>
    </w:rPr>
  </w:style>
  <w:style w:type="character" w:styleId="955" w:customStyle="1">
    <w:name w:val="Título Char"/>
    <w:link w:val="954"/>
    <w:uiPriority w:val="10"/>
    <w:pPr>
      <w:pBdr/>
      <w:spacing/>
      <w:ind/>
    </w:pPr>
    <w:rPr>
      <w:rFonts w:ascii="Calibri Light" w:hAnsi="Calibri Light" w:eastAsia="Times New Roman" w:cs="Times New Roman"/>
      <w:spacing w:val="-10"/>
      <w:sz w:val="56"/>
      <w:szCs w:val="56"/>
    </w:rPr>
  </w:style>
  <w:style w:type="paragraph" w:styleId="956">
    <w:name w:val="List Paragraph"/>
    <w:basedOn w:val="943"/>
    <w:link w:val="964"/>
    <w:uiPriority w:val="34"/>
    <w:qFormat/>
    <w:pPr>
      <w:pBdr/>
      <w:spacing w:after="0" w:line="240" w:lineRule="auto"/>
      <w:ind w:left="720"/>
      <w:contextualSpacing w:val="true"/>
    </w:pPr>
    <w:rPr>
      <w:sz w:val="24"/>
      <w:szCs w:val="24"/>
    </w:rPr>
  </w:style>
  <w:style w:type="paragraph" w:styleId="957" w:customStyle="1">
    <w:name w:val="Default"/>
    <w:pPr>
      <w:pBdr/>
      <w:spacing/>
      <w:ind/>
    </w:pPr>
    <w:rPr>
      <w:rFonts w:ascii="Arial" w:hAnsi="Arial" w:cs="Arial"/>
      <w:color w:val="000000"/>
      <w:sz w:val="24"/>
      <w:szCs w:val="24"/>
      <w:lang w:eastAsia="en-US"/>
    </w:rPr>
  </w:style>
  <w:style w:type="character" w:styleId="958" w:customStyle="1">
    <w:name w:val="Título 3 Char"/>
    <w:basedOn w:val="948"/>
    <w:link w:val="946"/>
    <w:uiPriority w:val="9"/>
    <w:semiHidden/>
    <w:pPr>
      <w:pBdr/>
      <w:spacing/>
      <w:ind/>
    </w:pPr>
    <w:rPr>
      <w:rFonts w:asciiTheme="majorHAnsi" w:hAnsiTheme="majorHAnsi" w:eastAsiaTheme="majorEastAsia" w:cstheme="majorBidi"/>
      <w:color w:val="1f3763" w:themeColor="accent1" w:themeShade="7F"/>
      <w:sz w:val="24"/>
      <w:szCs w:val="24"/>
      <w:lang w:eastAsia="en-US"/>
    </w:rPr>
  </w:style>
  <w:style w:type="character" w:styleId="959">
    <w:name w:val="Strong"/>
    <w:basedOn w:val="948"/>
    <w:uiPriority w:val="22"/>
    <w:qFormat/>
    <w:pPr>
      <w:pBdr/>
      <w:spacing/>
      <w:ind/>
    </w:pPr>
    <w:rPr>
      <w:b/>
      <w:bCs/>
    </w:rPr>
  </w:style>
  <w:style w:type="character" w:styleId="960" w:customStyle="1">
    <w:name w:val="Título 4 Char"/>
    <w:basedOn w:val="948"/>
    <w:link w:val="947"/>
    <w:uiPriority w:val="9"/>
    <w:semiHidden/>
    <w:pPr>
      <w:pBdr/>
      <w:spacing/>
      <w:ind/>
    </w:pPr>
    <w:rPr>
      <w:rFonts w:asciiTheme="majorHAnsi" w:hAnsiTheme="majorHAnsi" w:eastAsiaTheme="majorEastAsia" w:cstheme="majorBidi"/>
      <w:i/>
      <w:iCs/>
      <w:color w:val="2f5496" w:themeColor="accent1" w:themeShade="BF"/>
      <w:sz w:val="22"/>
      <w:szCs w:val="22"/>
      <w:lang w:eastAsia="en-US"/>
    </w:rPr>
  </w:style>
  <w:style w:type="paragraph" w:styleId="961" w:customStyle="1">
    <w:name w:val="Estilo3"/>
    <w:basedOn w:val="943"/>
    <w:link w:val="962"/>
    <w:qFormat/>
    <w:pPr>
      <w:pBdr/>
      <w:spacing w:after="0" w:before="60" w:line="360" w:lineRule="auto"/>
      <w:ind/>
    </w:pPr>
    <w:rPr>
      <w:rFonts w:ascii="Univers" w:hAnsi="Univers" w:eastAsiaTheme="minorHAnsi"/>
      <w:sz w:val="20"/>
    </w:rPr>
  </w:style>
  <w:style w:type="character" w:styleId="962" w:customStyle="1">
    <w:name w:val="Estilo3 Char"/>
    <w:basedOn w:val="948"/>
    <w:link w:val="961"/>
    <w:pPr>
      <w:pBdr/>
      <w:spacing/>
      <w:ind/>
    </w:pPr>
    <w:rPr>
      <w:rFonts w:ascii="Univers" w:hAnsi="Univers" w:eastAsiaTheme="minorHAnsi"/>
      <w:szCs w:val="22"/>
      <w:lang w:eastAsia="en-US"/>
    </w:rPr>
  </w:style>
  <w:style w:type="character" w:styleId="963" w:customStyle="1">
    <w:name w:val="Título 2 Char"/>
    <w:basedOn w:val="948"/>
    <w:link w:val="945"/>
    <w:uiPriority w:val="9"/>
    <w:semiHidden/>
    <w:pPr>
      <w:pBdr/>
      <w:spacing/>
      <w:ind/>
    </w:pPr>
    <w:rPr>
      <w:rFonts w:asciiTheme="majorHAnsi" w:hAnsiTheme="majorHAnsi" w:eastAsiaTheme="majorEastAsia" w:cstheme="majorBidi"/>
      <w:color w:val="2f5496" w:themeColor="accent1" w:themeShade="BF"/>
      <w:sz w:val="26"/>
      <w:szCs w:val="26"/>
      <w:lang w:eastAsia="en-US"/>
    </w:rPr>
  </w:style>
  <w:style w:type="character" w:styleId="964" w:customStyle="1">
    <w:name w:val="Parágrafo da Lista Char"/>
    <w:link w:val="956"/>
    <w:uiPriority w:val="34"/>
    <w:qFormat/>
    <w:pPr>
      <w:pBdr/>
      <w:spacing/>
      <w:ind/>
    </w:pPr>
    <w:rPr>
      <w:sz w:val="24"/>
      <w:szCs w:val="24"/>
      <w:lang w:eastAsia="en-US"/>
    </w:rPr>
  </w:style>
  <w:style w:type="character" w:styleId="965" w:customStyle="1">
    <w:name w:val="Estilo1 Char"/>
    <w:basedOn w:val="948"/>
    <w:link w:val="966"/>
    <w:pPr>
      <w:pBdr/>
      <w:spacing/>
      <w:ind/>
    </w:pPr>
    <w:rPr>
      <w:rFonts w:ascii="Univers" w:hAnsi="Univers" w:cs="Arial"/>
      <w:b/>
    </w:rPr>
  </w:style>
  <w:style w:type="paragraph" w:styleId="966" w:customStyle="1">
    <w:name w:val="Estilo1"/>
    <w:basedOn w:val="943"/>
    <w:link w:val="965"/>
    <w:qFormat/>
    <w:pPr>
      <w:pBdr/>
      <w:spacing w:after="0" w:before="60" w:line="360" w:lineRule="auto"/>
      <w:ind/>
    </w:pPr>
    <w:rPr>
      <w:rFonts w:ascii="Univers" w:hAnsi="Univers" w:cs="Arial"/>
      <w:b/>
      <w:sz w:val="20"/>
      <w:szCs w:val="20"/>
      <w:lang w:eastAsia="pt-BR"/>
    </w:rPr>
  </w:style>
  <w:style w:type="character" w:styleId="967">
    <w:name w:val="Hyperlink"/>
    <w:basedOn w:val="948"/>
    <w:uiPriority w:val="99"/>
    <w:unhideWhenUsed/>
    <w:pPr>
      <w:pBdr/>
      <w:spacing/>
      <w:ind/>
    </w:pPr>
    <w:rPr>
      <w:color w:val="0563c1" w:themeColor="hyperlink"/>
      <w:u w:val="single"/>
    </w:rPr>
  </w:style>
  <w:style w:type="character" w:styleId="968">
    <w:name w:val="Unresolved Mention"/>
    <w:basedOn w:val="948"/>
    <w:uiPriority w:val="99"/>
    <w:semiHidden/>
    <w:unhideWhenUsed/>
    <w:pPr>
      <w:pBdr/>
      <w:spacing/>
      <w:ind/>
    </w:pPr>
    <w:rPr>
      <w:color w:val="605e5c"/>
      <w:shd w:val="clear" w:color="auto" w:fill="e1dfdd"/>
    </w:rPr>
  </w:style>
  <w:style w:type="paragraph" w:styleId="969">
    <w:name w:val="footnote text"/>
    <w:basedOn w:val="943"/>
    <w:link w:val="970"/>
    <w:uiPriority w:val="99"/>
    <w:qFormat/>
    <w:pPr>
      <w:pBdr/>
      <w:spacing w:after="0" w:line="240" w:lineRule="auto"/>
      <w:ind/>
    </w:pPr>
    <w:rPr>
      <w:rFonts w:ascii="Times New Roman" w:hAnsi="Times New Roman" w:eastAsia="Times New Roman"/>
      <w:sz w:val="20"/>
      <w:szCs w:val="20"/>
      <w:lang w:eastAsia="pt-BR"/>
    </w:rPr>
  </w:style>
  <w:style w:type="character" w:styleId="970" w:customStyle="1">
    <w:name w:val="Texto de nota de rodapé Char"/>
    <w:basedOn w:val="948"/>
    <w:link w:val="969"/>
    <w:uiPriority w:val="99"/>
    <w:pPr>
      <w:pBdr/>
      <w:spacing/>
      <w:ind/>
    </w:pPr>
    <w:rPr>
      <w:rFonts w:ascii="Times New Roman" w:hAnsi="Times New Roman" w:eastAsia="Times New Roman"/>
    </w:rPr>
  </w:style>
  <w:style w:type="character" w:styleId="971">
    <w:name w:val="footnote reference"/>
    <w:pPr>
      <w:pBdr/>
      <w:spacing/>
      <w:ind/>
    </w:pPr>
    <w:rPr>
      <w:vertAlign w:val="superscript"/>
    </w:rPr>
  </w:style>
  <w:style w:type="table" w:styleId="972">
    <w:name w:val="Table Grid"/>
    <w:basedOn w:val="949"/>
    <w:uiPriority w:val="39"/>
    <w:pPr>
      <w:pBdr/>
      <w:spacing/>
      <w:ind/>
    </w:pPr>
    <w:rPr>
      <w:rFonts w:ascii="Times New Roman" w:hAnsi="Times New Roman" w:eastAsia="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customXml" Target="../customXml/item1.xml" /><Relationship Id="rId10" Type="http://schemas.openxmlformats.org/officeDocument/2006/relationships/customXml" Target="../customXml/item2.xml" /><Relationship Id="rId11" Type="http://schemas.openxmlformats.org/officeDocument/2006/relationships/customXml" Target="../customXml/item3.xml" /><Relationship Id="rId12" Type="http://schemas.openxmlformats.org/officeDocument/2006/relationships/customXml" Target="../customXml/item4.xml" /><Relationship Id="rId13" Type="http://schemas.openxmlformats.org/officeDocument/2006/relationships/image" Target="media/image1.jpg"/><Relationship Id="rId14" Type="http://schemas.openxmlformats.org/officeDocument/2006/relationships/image" Target="media/image2.png"/><Relationship Id="rId15" Type="http://schemas.openxmlformats.org/officeDocument/2006/relationships/image" Target="media/image3.png"/><Relationship Id="rId16" Type="http://schemas.openxmlformats.org/officeDocument/2006/relationships/hyperlink" Target="https://rms.pdui.sp.gov.br/?page_id=127" TargetMode="External"/><Relationship Id="rId17" Type="http://schemas.openxmlformats.org/officeDocument/2006/relationships/image" Target="media/image4.png"/><Relationship Id="rId18" Type="http://schemas.openxmlformats.org/officeDocument/2006/relationships/image" Target="media/media1.svg"/><Relationship Id="rId19" Type="http://schemas.openxmlformats.org/officeDocument/2006/relationships/hyperlink" Target="https://www.econodata.com.br/empresas" TargetMode="External"/><Relationship Id="rId20" Type="http://schemas.openxmlformats.org/officeDocument/2006/relationships/image" Target="media/image5.png"/><Relationship Id="rId21" Type="http://schemas.openxmlformats.org/officeDocument/2006/relationships/image" Target="media/media2.svg"/><Relationship Id="rId22" Type="http://schemas.openxmlformats.org/officeDocument/2006/relationships/hyperlink" Target="https://www.ibge.gov.br/estatisticas/economicas/comercio/9016-estatisticas-do-cadastro-central-de-empresas.html" TargetMode="External"/><Relationship Id="rId23" Type="http://schemas.openxmlformats.org/officeDocument/2006/relationships/hyperlink" Target="https://www.ibge.gov.br" TargetMode="External"/><Relationship Id="rId24" Type="http://schemas.openxmlformats.org/officeDocument/2006/relationships/hyperlink" Target="https://www.econodata.com.br" TargetMode="External"/><Relationship Id="rId25" Type="http://schemas.openxmlformats.org/officeDocument/2006/relationships/hyperlink" Target="https://www.caravela.info" TargetMode="External"/><Relationship Id="rId26" Type="http://schemas.openxmlformats.org/officeDocument/2006/relationships/image" Target="media/image6.jp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 Id="rId1" Type="http://schemas.openxmlformats.org/officeDocument/2006/relationships/hyperlink" Target="https://sp.gov.br/sp/canais-comunicacao/noticias/pib+paulista+cresce+3+em+2024" TargetMode="External"/><Relationship Id="rId2" Type="http://schemas.openxmlformats.org/officeDocument/2006/relationships/hyperlink" Target="https://www.desenvolvesp.com.br/mapadaeconomiapaulista/ra/sorocaba/" TargetMode="External"/></Relationships>
</file>

<file path=word/theme/theme1.xml><?xml version="1.0" encoding="utf-8"?>
<a:theme xmlns:a="http://schemas.openxmlformats.org/drawingml/2006/main" xmlns:r="http://schemas.openxmlformats.org/officeDocument/2006/relationships" xmlns:p="http://schemas.openxmlformats.org/presentation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xml version="1.0" encoding="UTF-8" standalone="yes"?><Relationships xmlns="http://schemas.openxmlformats.org/package/2006/relationships"><Relationship Id="rId1" Type="http://schemas.openxmlformats.org/officeDocument/2006/relationships/customXmlProps" Target="itemProps3.xml" /></Relationships>
</file>

<file path=customXml/_rels/item4.xml.rels><?xml version="1.0" encoding="UTF-8" standalone="yes"?><Relationships xmlns="http://schemas.openxmlformats.org/package/2006/relationships"><Relationship Id="rId1" Type="http://schemas.openxmlformats.org/officeDocument/2006/relationships/customXmlProps" Target="itemProps4.xml" /></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DAED1B117F6894D909B25A69A4597D2" ma:contentTypeVersion="11" ma:contentTypeDescription="Crie um novo documento." ma:contentTypeScope="" ma:versionID="fc0e1081098a96f1fc26b259e7bbb1c8">
  <xsd:schema xmlns:xsd="http://www.w3.org/2001/XMLSchema" xmlns:xs="http://www.w3.org/2001/XMLSchema" xmlns:p="http://schemas.microsoft.com/office/2006/metadata/properties" xmlns:ns2="0cd93fe2-0880-41f5-aab4-f958682b72cb" xmlns:ns3="18000554-2c77-4cf4-9366-a485aa9d7e35" targetNamespace="http://schemas.microsoft.com/office/2006/metadata/properties" ma:root="true" ma:fieldsID="f39cd65ee00b5e4c5dd2756fb7575f2f" ns2:_="" ns3:_="">
    <xsd:import namespace="0cd93fe2-0880-41f5-aab4-f958682b72cb"/>
    <xsd:import namespace="18000554-2c77-4cf4-9366-a485aa9d7e3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d93fe2-0880-41f5-aab4-f958682b72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8000554-2c77-4cf4-9366-a485aa9d7e35" elementFormDefault="qualified">
    <xsd:import namespace="http://schemas.microsoft.com/office/2006/documentManagement/types"/>
    <xsd:import namespace="http://schemas.microsoft.com/office/infopath/2007/PartnerControls"/>
    <xsd:element name="SharedWithUsers" ma:index="15"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This value indicates the number of saves or revisions. The application is responsible for updating this value after each revision.</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8EBEC5D-7930-4096-811E-3974E15CEA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d93fe2-0880-41f5-aab4-f958682b72cb"/>
    <ds:schemaRef ds:uri="18000554-2c77-4cf4-9366-a485aa9d7e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w3.org/2001/XMLSchema-instance"/>
  </ds:schemaRefs>
</ds:datastoreItem>
</file>

<file path=customXml/itemProps2.xml><?xml version="1.0" encoding="utf-8"?>
<ds:datastoreItem xmlns:ds="http://schemas.openxmlformats.org/officeDocument/2006/customXml" ds:itemID="{B572EE77-8DF4-4042-85A6-93F638E359AA}">
  <ds:schemaRefs>
    <ds:schemaRef ds:uri="http://schemas.openxmlformats.org/officeDocument/2006/bibliography"/>
  </ds:schemaRefs>
</ds:datastoreItem>
</file>

<file path=customXml/itemProps3.xml><?xml version="1.0" encoding="utf-8"?>
<ds:datastoreItem xmlns:ds="http://schemas.openxmlformats.org/officeDocument/2006/customXml" ds:itemID="{91765762-870E-45AA-A1E2-3D963434BCEC}">
  <ds:schemaRefs>
    <ds:schemaRef ds:uri="http://schemas.microsoft.com/office/2006/metadata/properties"/>
    <ds:schemaRef ds:uri="http://schemas.microsoft.com/office/infopath/2007/PartnerControls"/>
    <ds:schemaRef ds:uri="http://www.w3.org/2001/XMLSchema-instance"/>
  </ds:schemaRefs>
</ds:datastoreItem>
</file>

<file path=customXml/itemProps4.xml><?xml version="1.0" encoding="utf-8"?>
<ds:datastoreItem xmlns:ds="http://schemas.openxmlformats.org/officeDocument/2006/customXml" ds:itemID="{DB5A6EEF-EB5C-41E5-AF63-77DC10021D6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Application>ONLYOFFICE/9.2.0.100</Application>
  <DocSecurity>0</DocSecurity>
  <ScaleCrop>0</ScaleCrop>
  <HeadingPairs>
    <vt:vector size="0" baseType="variant"/>
  </HeadingPairs>
  <TitlesOfParts>
    <vt:vector size="0" baseType="lpstr"/>
  </TitlesOfParts>
  <Company/>
  <LinksUpToDate>0</LinksUpToDate>
  <SharedDoc>0</SharedDoc>
  <HyperlinksChanged>0</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Simone Teresinha Torquato Pinho - Secretaria</dc:creator>
  <cp:keywords/>
  <dc:description/>
  <cp:revision>4</cp:revision>
  <dcterms:created xsi:type="dcterms:W3CDTF">2025-05-02T01:29:00Z</dcterms:created>
  <dcterms:modified xsi:type="dcterms:W3CDTF">2026-02-19T11:40:23Z</dcterms:modified>
</cp:coreProperties>
</file>