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-25400</wp:posOffset>
                </wp:positionH>
                <wp:positionV relativeFrom="paragraph">
                  <wp:posOffset>-899795</wp:posOffset>
                </wp:positionV>
                <wp:extent cx="7602020" cy="10744200"/>
                <wp:effectExtent l="0" t="0" r="0" b="0"/>
                <wp:wrapNone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08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7606855" cy="107510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251659264;o:allowoverlap:true;o:allowincell:true;mso-position-horizontal-relative:page;margin-left:-2.00pt;mso-position-horizontal:absolute;mso-position-vertical-relative:text;margin-top:-70.85pt;mso-position-vertical:absolute;width:598.58pt;height:846.00pt;mso-wrap-distance-left:9.00pt;mso-wrap-distance-top:0.00pt;mso-wrap-distance-right:9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/>
    </w:p>
    <w:p>
      <w:pPr>
        <w:pBdr/>
        <w:spacing w:line="360" w:lineRule="auto"/>
        <w:ind/>
        <w:jc w:val="center"/>
        <w:rPr>
          <w:rFonts w:ascii="Arial" w:hAnsi="Arial" w:cs="Arial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6192" behindDoc="0" locked="0" layoutInCell="1" allowOverlap="1">
                <wp:simplePos x="0" y="0"/>
                <wp:positionH relativeFrom="margin">
                  <wp:posOffset>626745</wp:posOffset>
                </wp:positionH>
                <wp:positionV relativeFrom="paragraph">
                  <wp:posOffset>3089275</wp:posOffset>
                </wp:positionV>
                <wp:extent cx="4789170" cy="1906905"/>
                <wp:effectExtent l="0" t="0" r="0" b="0"/>
                <wp:wrapThrough wrapText="bothSides">
                  <wp:wrapPolygon edited="1">
                    <wp:start x="172" y="0"/>
                    <wp:lineTo x="172" y="21363"/>
                    <wp:lineTo x="21308" y="21363"/>
                    <wp:lineTo x="21308" y="0"/>
                    <wp:lineTo x="172" y="0"/>
                  </wp:wrapPolygon>
                </wp:wrapThrough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9170" cy="1906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Theme="minorHAnsi" w:hAnsiTheme="minorHAnsi" w:cstheme="minorHAnsi"/>
                                <w:color w:val="242424"/>
                                <w:sz w:val="52"/>
                                <w:szCs w:val="5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242424"/>
                                <w:sz w:val="52"/>
                                <w:szCs w:val="52"/>
                                <w:shd w:val="clear" w:color="auto" w:fill="ffffff"/>
                              </w:rPr>
                              <w:t xml:space="preserve">Curso de Superior de Tecnologia em Processos Gerencias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242424"/>
                                <w:sz w:val="52"/>
                                <w:szCs w:val="52"/>
                                <w:shd w:val="clear" w:color="auto" w:fill="ffffff"/>
                              </w:rPr>
                            </w:r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242424"/>
                                <w:sz w:val="52"/>
                                <w:szCs w:val="52"/>
                                <w:shd w:val="clear" w:color="auto" w:fill="ffffff"/>
                              </w:rPr>
                              <w:t xml:space="preserve">Relação das Competências e perfil do Egresso</w:t>
                            </w:r>
                            <w:r>
                              <w:rPr>
                                <w:rFonts w:asciiTheme="minorHAnsi" w:hAnsiTheme="minorHAnsi" w:cstheme="minorHAnsi"/>
                                <w:sz w:val="52"/>
                                <w:szCs w:val="52"/>
                              </w:rPr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251656192;o:allowoverlap:true;o:allowincell:true;mso-position-horizontal-relative:margin;margin-left:49.35pt;mso-position-horizontal:absolute;mso-position-vertical-relative:text;margin-top:243.25pt;mso-position-vertical:absolute;width:377.10pt;height:150.15pt;mso-wrap-distance-left:9.00pt;mso-wrap-distance-top:0.00pt;mso-wrap-distance-right:9.00pt;mso-wrap-distance-bottom:0.00pt;visibility:visible;" wrapcoords="796 0 796 98903 98648 98903 98648 0 796 0" filled="f" stroked="f">
                <w10:wrap type="through"/>
                <v:textbox inset="0,0,0,0">
                  <w:txbxContent>
                    <w:p>
                      <w:pPr>
                        <w:pBdr/>
                        <w:spacing w:after="0" w:line="240" w:lineRule="auto"/>
                        <w:ind/>
                        <w:jc w:val="center"/>
                        <w:rPr>
                          <w:rFonts w:asciiTheme="minorHAnsi" w:hAnsiTheme="minorHAnsi" w:cstheme="minorHAnsi"/>
                          <w:color w:val="242424"/>
                          <w:sz w:val="52"/>
                          <w:szCs w:val="52"/>
                          <w:shd w:val="clear" w:color="auto" w:fill="ffffff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242424"/>
                          <w:sz w:val="52"/>
                          <w:szCs w:val="52"/>
                          <w:shd w:val="clear" w:color="auto" w:fill="ffffff"/>
                        </w:rPr>
                        <w:t xml:space="preserve">Curso de Superior de Tecnologia em Processos Gerencias </w:t>
                      </w:r>
                      <w:r>
                        <w:rPr>
                          <w:rFonts w:asciiTheme="minorHAnsi" w:hAnsiTheme="minorHAnsi" w:cstheme="minorHAnsi"/>
                          <w:color w:val="242424"/>
                          <w:sz w:val="52"/>
                          <w:szCs w:val="52"/>
                          <w:shd w:val="clear" w:color="auto" w:fill="ffffff"/>
                        </w:rPr>
                      </w:r>
                    </w:p>
                    <w:p>
                      <w:pPr>
                        <w:pBdr/>
                        <w:spacing w:after="0" w:line="240" w:lineRule="auto"/>
                        <w:ind/>
                        <w:jc w:val="center"/>
                        <w:rPr>
                          <w:rFonts w:asciiTheme="minorHAnsi" w:hAnsiTheme="minorHAnsi" w:cstheme="minorHAnsi"/>
                          <w:sz w:val="52"/>
                          <w:szCs w:val="52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242424"/>
                          <w:sz w:val="52"/>
                          <w:szCs w:val="52"/>
                          <w:shd w:val="clear" w:color="auto" w:fill="ffffff"/>
                        </w:rPr>
                        <w:t xml:space="preserve">Relação das Competências e perfil do Egresso</w:t>
                      </w:r>
                      <w:r>
                        <w:rPr>
                          <w:rFonts w:asciiTheme="minorHAnsi" w:hAnsiTheme="minorHAnsi" w:cstheme="minorHAnsi"/>
                          <w:sz w:val="52"/>
                          <w:szCs w:val="52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br w:type="page" w:clear="all"/>
      </w:r>
      <w:r>
        <w:rPr>
          <w:rFonts w:ascii="Arial" w:hAnsi="Arial" w:cs="Arial"/>
        </w:rPr>
      </w:r>
    </w:p>
    <w:p>
      <w:pPr>
        <w:widowControl w:val="false"/>
        <w:pBdr/>
        <w:spacing w:line="360" w:lineRule="auto"/>
        <w:ind w:right="-1" w:firstLine="0"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Perfil do Egresso e suas Competências</w:t>
      </w:r>
      <w:r>
        <w:rPr>
          <w:rFonts w:ascii="Arial" w:hAnsi="Arial" w:cs="Arial"/>
          <w:b/>
          <w:bCs/>
        </w:rPr>
      </w:r>
    </w:p>
    <w:p>
      <w:pPr>
        <w:pStyle w:val="703"/>
        <w:widowControl w:val="false"/>
        <w:pBdr/>
        <w:spacing w:line="360" w:lineRule="auto"/>
        <w:ind w:right="-1" w:left="1060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O Centro Universitário Nossa Senhora do Patrocínio (CEUNSP), por meio do seu Projeto Pedagógico do Curso (PPC) Superior de Tecnologia em Processos Gerenciais, estabelece um perfil profissional do egresso e suas competências de forma alinhada às mais import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antes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Diretrizes Curriculares Nacionais (DCNs)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 regulamentações para a Educação Profissional e Tecnológica no Brasil. Este alinhamento garante que a formação oferecida seja de alta qualidade, atualizada e relevante para as demandas do mercado de trabalho e da sociedade.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Perfil do Egresso e Suas Competências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O perfil profissional do egresso do Curso Superior de Tecnologia em Processos Gerenciais do CEUNSP é concebido para formar um profissional com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formação generalista, autônomo, ético e respeitoso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dotado de uma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postura crítica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em sua atuação. O curso enfatiza 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formação continuada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como um pilar essencial para o aprimoramento profissional contínuo.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A construção desse perfil articula de maneira intrínseca 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teoria com a prática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sendo constantemente atualizada para responder às exigências do mercado de trabalho e às necessidades específicas da região de Itu e Salto, um polo econômico estratégico no estado de São Paulo.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As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principais atividades profissionais, habilidades e competências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que o egresso deverá ser capaz de exercer, compreender e dominar incluem: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Planejar, organizar, dirigir e controlar processos gerenciais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em organizações de diversos portes e segmentos.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Analisar cenários econômicos, políticos e sociais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para fundamentar a tomada de decisões estratégicas.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Aplicar ferramentas e métodos de Gestão de Processos Gerenciais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para promover a melhoria contínua dos processos organizacionais.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Elaborar e gerenciar projetos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com foco em inovação, sustentabilidade e competitividade.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Interpretar indicadores de desempenho organizacional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 propor ações corretivas e preventivas.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Utilizar tecnologias e sistemas de informação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como suporte à gestão e à tomada de decisão.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Gerenciar recursos humanos, financeiros, logísticos e materiais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de forma integrada e eficiente.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Promover práticas de gestão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que incorporem 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responsabilidade socioambiental e a ética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nos negócios.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Desenvolver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habilidades de liderança, negociação e comunicação eficaz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Estimular a cultura empreendedora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 a criação de novos negócios, identificando oportunidades no mercado.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Compreender e aplicar a legislação vigente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relacionada às atividades empresarial, trabalhista, tributária e consumerista.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Atuar de forma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colaborativa em equipes multidisciplinares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respeitando a diversidade.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Incentivar e praticar 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formação continuada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como estratégia de atualização e aprimoramento profissional.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Desenvolver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sensibilidade global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nas organizações.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Projetar e desenvolver soluções inovadoras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para problemas locais.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Ser capaz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reconhecer e conviver com as diferenças socioculturais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em todos os níveis de atuação.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Realizar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mapeamento de processos organizacionais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segundo indicadores de qualidade e produtividade.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Elaborar e analisar documentação e relatórios de qualidade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Capacitar pessoas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em procedimentos e rotinas para minimizar a produção fora de conformidade.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A interdisciplinaridade é um pilar fundamental do projeto pedagógico, garantindo que o aluno desenvolva uma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visão sistêmica e integrada do conhecimento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O egresso é capacitado para atuar de forma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transformadora, com ética, senso crítico e reflexão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com um forte compromisso com o desenvolvimento regional.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Articulação com as Diretrizes Curriculares Nacionais e Normativas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A definição do perfil do egresso e a própria estrutura curricular do curso são concebidas e revisadas em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estrita consonância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com um conjunto de resoluções e documentos do Ministério da Educação (MEC) e do Conselho Nacional de Educação (CNE). Esta articulação é fundamental para assegurar a pertinência e a qualidade da formação oferecida.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1.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Diretrizes Curriculares Nacionais Gerais para a Educação Profissional e Tecnológica (Resolução CNE/CP Nº 1, DE 5 DE JANEIRO DE 2021)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: Esta resolução serve como a base normativa para a organização curricular do Curso Superior de Tecnologia em Processos Gerenciais. Ela fornece as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diretrizes gerais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essenciais para a definição dos conteúdos e a articulação com o perfil desejado do egresso. Ao seguir estas DCNs, o CEUNSP assegura uma formação alinhada às expectativas nacionais, construída sobre uma base sólida e continuamente atualizada. Os objetivos 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gerais e específicos do curso, juntamente com sua matriz curricular, estão em total conformidade com esta resolução, e os conteúdos programáticos abrangem integralmente os temas por ela estabelecidos.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2.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Catálogo Nacional de Cursos Superiores de Tecnologia (2016) e (2024) - PORTARIA MEC Nº 514, DE 4 DE JUNHO DE 2024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: O Projeto Pedagógico do Curso (PPC) de Processos Gerenciais foi elaborado e é sistematicamente atualizado em consonância com as versões de 2016 e 2024 do Catálogo Nacional de Cursos Superiores de Tecnologia (CNCT). Este catálogo representa um instrumento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regulatório vital que define as características e as diretrizes para cada curso superior de tecnologia, promovendo a padronização e a garantia de qualidade em nível nacional. A organização curricular do CEUNSP, incluindo seus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eixos de formação (Geral, Profissional, Área e Específica)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está diretamente alinhada às disposições e requisitos estabelecidos pelo CNCT.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3.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Resolução CNE/CES n º7 de 18 dezembro de 2018 (Extensão Curricularizada)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: Esta resolução é crucial por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definir a curricularização da extensão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na Educação Superior Brasileira. Para o CEUNSP, a extensão universitária é reconhecida como um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processo acadêmico indissociável do ensino e da pesquisa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desempenhando um papel fundamental. Ela busca integrar a Instituição de Ensino Superior (IES) à comunidade na qual está inserida, possibilitando a formação de profissionais que interagem efetivamente com a sociedade e contribuem ativamente para o desenvo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lvimento social e econômico. Esta resolução impulsionou a inclusão da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Responsabilidade Social da Educação Superior (RSES)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como uma dimensão obrigatória nos processos de avaliação das IES.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4. No Curso Superior de Tecnologia em Processos Gerenciais, a extensão curricularizada é implementada de forma prática por meio dos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Itinerários Extensionistas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Estes são componentes curriculares que ocorrem semestralmente e utilizam uma metodologia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aprendizagem baseada em projetos aplicáveis (PBL - Problem Based Learning)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Frequentemente mediada pela ferramenta tecnológica DreamShaper, essa abordagem inovadora permite aos alunos mobilizar o conhecimento estudado em sala de aula e interagir de forma significativa com seu entorno, gerando valor tanto para a comunidade quanto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para o mercado. Os Itinerários Extensionistas articulam também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temas transversais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de grande importância social, como educação ambiental, direitos humanos, relações étnico-raciais, políticas de gênero e inclusão de refugiados, incentivando a reflexão crítica e a atuação social responsável. A carga horária total do curso inclui 160 horas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dedicadas a esses itinerários, o que demonstra o compromisso com essa dimensão formativa. A curricularização da extensão é vista como um meio eficaz de formar um egresso com uma percepção ampla de seu papel como cidadão e agente social. Além disso, a disc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iplina "Gestão Ambiental e Responsabilidade Social" é parte integrante da grade curricular para estimular a reflexão e a incorporação de práticas sustentáveis e éticas desde o início da formação.</w:t>
      </w:r>
      <w:r>
        <w:rPr>
          <w:sz w:val="22"/>
          <w:szCs w:val="22"/>
        </w:rPr>
      </w:r>
    </w:p>
    <w:p>
      <w:pPr>
        <w:pStyle w:val="703"/>
        <w:widowControl w:val="false"/>
        <w:pBdr/>
        <w:tabs>
          <w:tab w:val="left" w:leader="none" w:pos="993"/>
        </w:tabs>
        <w:spacing w:line="360" w:lineRule="auto"/>
        <w:ind w:right="-1" w:left="993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widowControl w:val="false"/>
        <w:pBdr/>
        <w:spacing w:line="360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-869950</wp:posOffset>
                </wp:positionV>
                <wp:extent cx="7655560" cy="10690860"/>
                <wp:effectExtent l="0" t="0" r="0" b="0"/>
                <wp:wrapNone/>
                <wp:docPr id="3" name="Imagem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5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55560" cy="106908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position:absolute;z-index:-251658240;o:allowoverlap:true;o:allowincell:true;mso-position-horizontal-relative:page;margin-left:0.00pt;mso-position-horizontal:absolute;mso-position-vertical-relative:text;margin-top:-68.50pt;mso-position-vertical:absolute;width:602.80pt;height:841.80pt;mso-wrap-distance-left:9.00pt;mso-wrap-distance-top:0.00pt;mso-wrap-distance-right:9.00pt;mso-wrap-distance-bottom:0.00pt;z-index:1;" stroked="f">
                <v:imagedata r:id="rId14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</w:rPr>
      </w:r>
    </w:p>
    <w:sectPr>
      <w:footnotePr/>
      <w:endnotePr/>
      <w:type w:val="nextPage"/>
      <w:pgSz w:h="16838" w:orient="portrait" w:w="11906"/>
      <w:pgMar w:top="1417" w:right="1701" w:bottom="1417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 Light">
    <w:panose1 w:val="020F0302020204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64B5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2BD00D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">
    <w:nsid w:val="2C8820F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3">
    <w:nsid w:val="373E0D50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4">
    <w:nsid w:val="3880499F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5">
    <w:nsid w:val="41A06734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6">
    <w:nsid w:val="41D6758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7">
    <w:nsid w:val="4B054CF4"/>
    <w:lvl w:ilvl="0">
      <w:isLgl w:val="false"/>
      <w:lvlJc w:val="left"/>
      <w:lvlText w:val="%1-"/>
      <w:numFmt w:val="decimalZero"/>
      <w:pPr>
        <w:pBdr/>
        <w:spacing/>
        <w:ind w:hanging="360" w:left="502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22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94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66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8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10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82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54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262"/>
      </w:pPr>
      <w:rPr>
        <w:rFonts w:hint="default" w:ascii="Wingdings" w:hAnsi="Wingdings"/>
      </w:rPr>
      <w:start w:val="1"/>
      <w:suff w:val="tab"/>
    </w:lvl>
  </w:abstractNum>
  <w:abstractNum w:abstractNumId="8">
    <w:nsid w:val="4EAC5105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9">
    <w:nsid w:val="5A53674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0">
    <w:nsid w:val="5D31639F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1">
    <w:nsid w:val="6E5C060B"/>
    <w:lvl w:ilvl="0">
      <w:isLgl w:val="false"/>
      <w:lvlJc w:val="left"/>
      <w:lvlText w:val=""/>
      <w:numFmt w:val="bullet"/>
      <w:pPr>
        <w:pBdr/>
        <w:spacing/>
        <w:ind w:hanging="360" w:left="1788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50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22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94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66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38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10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82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548"/>
      </w:pPr>
      <w:rPr>
        <w:rFonts w:hint="default" w:ascii="Wingdings" w:hAnsi="Wingdings"/>
      </w:rPr>
      <w:start w:val="1"/>
      <w:suff w:val="tab"/>
    </w:lvl>
  </w:abstractNum>
  <w:abstractNum w:abstractNumId="12">
    <w:nsid w:val="70147DB1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396" w:left="756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</w:abstractNum>
  <w:abstractNum w:abstractNumId="13">
    <w:nsid w:val="72BE3C05"/>
    <w:lvl w:ilvl="0">
      <w:isLgl w:val="false"/>
      <w:lvlJc w:val="left"/>
      <w:lvlText w:val="%1-"/>
      <w:numFmt w:val="decimal"/>
      <w:pPr>
        <w:pBdr/>
        <w:spacing/>
        <w:ind w:hanging="360" w:left="10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0"/>
      </w:pPr>
      <w:rPr/>
      <w:start w:val="1"/>
      <w:suff w:val="tab"/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4"/>
  </w:num>
  <w:num w:numId="5">
    <w:abstractNumId w:val="9"/>
  </w:num>
  <w:num w:numId="6">
    <w:abstractNumId w:val="1"/>
  </w:num>
  <w:num w:numId="7">
    <w:abstractNumId w:val="6"/>
  </w:num>
  <w:num w:numId="8">
    <w:abstractNumId w:val="10"/>
  </w:num>
  <w:num w:numId="9">
    <w:abstractNumId w:val="8"/>
  </w:num>
  <w:num w:numId="10">
    <w:abstractNumId w:val="2"/>
  </w:num>
  <w:num w:numId="11">
    <w:abstractNumId w:val="5"/>
  </w:num>
  <w:num w:numId="12">
    <w:abstractNumId w:val="0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pt-BR" w:eastAsia="pt-B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9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0">
    <w:name w:val="Heading 2"/>
    <w:basedOn w:val="692"/>
    <w:next w:val="69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2">
    <w:name w:val="Heading 4"/>
    <w:basedOn w:val="692"/>
    <w:next w:val="69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92"/>
    <w:next w:val="692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92"/>
    <w:next w:val="69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92"/>
    <w:next w:val="692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92"/>
    <w:next w:val="692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92"/>
    <w:next w:val="692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695"/>
    <w:link w:val="6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95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95"/>
    <w:link w:val="69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95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95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95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95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9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95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695"/>
    <w:link w:val="70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92"/>
    <w:next w:val="692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95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92"/>
    <w:next w:val="692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95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69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92"/>
    <w:next w:val="692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95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9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69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95"/>
    <w:uiPriority w:val="20"/>
    <w:qFormat/>
    <w:pPr>
      <w:pBdr/>
      <w:spacing/>
      <w:ind/>
    </w:pPr>
    <w:rPr>
      <w:i/>
      <w:iCs/>
    </w:rPr>
  </w:style>
  <w:style w:type="character" w:styleId="174">
    <w:name w:val="Subtle Reference"/>
    <w:basedOn w:val="69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9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92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95"/>
    <w:link w:val="176"/>
    <w:uiPriority w:val="99"/>
    <w:pPr>
      <w:pBdr/>
      <w:spacing/>
      <w:ind/>
    </w:pPr>
  </w:style>
  <w:style w:type="paragraph" w:styleId="178">
    <w:name w:val="Footer"/>
    <w:basedOn w:val="692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95"/>
    <w:link w:val="178"/>
    <w:uiPriority w:val="99"/>
    <w:pPr>
      <w:pBdr/>
      <w:spacing/>
      <w:ind/>
    </w:pPr>
  </w:style>
  <w:style w:type="paragraph" w:styleId="180">
    <w:name w:val="Caption"/>
    <w:basedOn w:val="692"/>
    <w:next w:val="6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92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95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95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92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95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95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69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69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92"/>
    <w:next w:val="692"/>
    <w:uiPriority w:val="39"/>
    <w:unhideWhenUsed/>
    <w:pPr>
      <w:pBdr/>
      <w:spacing w:after="100"/>
      <w:ind/>
    </w:pPr>
  </w:style>
  <w:style w:type="paragraph" w:styleId="190">
    <w:name w:val="toc 2"/>
    <w:basedOn w:val="692"/>
    <w:next w:val="692"/>
    <w:uiPriority w:val="39"/>
    <w:unhideWhenUsed/>
    <w:pPr>
      <w:pBdr/>
      <w:spacing w:after="100"/>
      <w:ind w:left="220"/>
    </w:pPr>
  </w:style>
  <w:style w:type="paragraph" w:styleId="191">
    <w:name w:val="toc 3"/>
    <w:basedOn w:val="692"/>
    <w:next w:val="692"/>
    <w:uiPriority w:val="39"/>
    <w:unhideWhenUsed/>
    <w:pPr>
      <w:pBdr/>
      <w:spacing w:after="100"/>
      <w:ind w:left="440"/>
    </w:pPr>
  </w:style>
  <w:style w:type="paragraph" w:styleId="192">
    <w:name w:val="toc 4"/>
    <w:basedOn w:val="692"/>
    <w:next w:val="692"/>
    <w:uiPriority w:val="39"/>
    <w:unhideWhenUsed/>
    <w:pPr>
      <w:pBdr/>
      <w:spacing w:after="100"/>
      <w:ind w:left="660"/>
    </w:pPr>
  </w:style>
  <w:style w:type="paragraph" w:styleId="193">
    <w:name w:val="toc 5"/>
    <w:basedOn w:val="692"/>
    <w:next w:val="692"/>
    <w:uiPriority w:val="39"/>
    <w:unhideWhenUsed/>
    <w:pPr>
      <w:pBdr/>
      <w:spacing w:after="100"/>
      <w:ind w:left="880"/>
    </w:pPr>
  </w:style>
  <w:style w:type="paragraph" w:styleId="194">
    <w:name w:val="toc 6"/>
    <w:basedOn w:val="692"/>
    <w:next w:val="692"/>
    <w:uiPriority w:val="39"/>
    <w:unhideWhenUsed/>
    <w:pPr>
      <w:pBdr/>
      <w:spacing w:after="100"/>
      <w:ind w:left="1100"/>
    </w:pPr>
  </w:style>
  <w:style w:type="paragraph" w:styleId="195">
    <w:name w:val="toc 7"/>
    <w:basedOn w:val="692"/>
    <w:next w:val="692"/>
    <w:uiPriority w:val="39"/>
    <w:unhideWhenUsed/>
    <w:pPr>
      <w:pBdr/>
      <w:spacing w:after="100"/>
      <w:ind w:left="1320"/>
    </w:pPr>
  </w:style>
  <w:style w:type="paragraph" w:styleId="196">
    <w:name w:val="toc 8"/>
    <w:basedOn w:val="692"/>
    <w:next w:val="692"/>
    <w:uiPriority w:val="39"/>
    <w:unhideWhenUsed/>
    <w:pPr>
      <w:pBdr/>
      <w:spacing w:after="100"/>
      <w:ind w:left="1540"/>
    </w:pPr>
  </w:style>
  <w:style w:type="paragraph" w:styleId="197">
    <w:name w:val="toc 9"/>
    <w:basedOn w:val="692"/>
    <w:next w:val="692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95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92"/>
    <w:next w:val="692"/>
    <w:uiPriority w:val="99"/>
    <w:unhideWhenUsed/>
    <w:pPr>
      <w:pBdr/>
      <w:spacing w:after="0" w:afterAutospacing="0"/>
      <w:ind/>
    </w:pPr>
  </w:style>
  <w:style w:type="paragraph" w:styleId="692" w:default="1">
    <w:name w:val="Normal"/>
    <w:qFormat/>
    <w:pPr>
      <w:pBdr/>
      <w:spacing w:after="160" w:line="259" w:lineRule="auto"/>
      <w:ind/>
    </w:pPr>
    <w:rPr>
      <w:sz w:val="22"/>
      <w:szCs w:val="22"/>
      <w:lang w:eastAsia="en-US"/>
    </w:rPr>
  </w:style>
  <w:style w:type="paragraph" w:styleId="693">
    <w:name w:val="Heading 1"/>
    <w:basedOn w:val="692"/>
    <w:next w:val="692"/>
    <w:link w:val="700"/>
    <w:uiPriority w:val="9"/>
    <w:qFormat/>
    <w:pPr>
      <w:keepNext w:val="true"/>
      <w:keepLines w:val="true"/>
      <w:pBdr/>
      <w:spacing w:after="0" w:before="240"/>
      <w:ind/>
      <w:outlineLvl w:val="0"/>
    </w:pPr>
    <w:rPr>
      <w:rFonts w:ascii="Calibri Light" w:hAnsi="Calibri Light" w:eastAsia="Times New Roman"/>
      <w:color w:val="2e74b5"/>
      <w:sz w:val="32"/>
      <w:szCs w:val="32"/>
    </w:rPr>
  </w:style>
  <w:style w:type="paragraph" w:styleId="694">
    <w:name w:val="Heading 3"/>
    <w:basedOn w:val="692"/>
    <w:next w:val="692"/>
    <w:link w:val="705"/>
    <w:uiPriority w:val="9"/>
    <w:semiHidden/>
    <w:unhideWhenUsed/>
    <w:qFormat/>
    <w:pPr>
      <w:keepNext w:val="true"/>
      <w:keepLines w:val="true"/>
      <w:pBdr/>
      <w:spacing w:after="0" w:before="40"/>
      <w:ind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695" w:default="1">
    <w:name w:val="Default Paragraph Font"/>
    <w:uiPriority w:val="1"/>
    <w:semiHidden/>
    <w:unhideWhenUsed/>
    <w:pPr>
      <w:pBdr/>
      <w:spacing/>
      <w:ind/>
    </w:pPr>
  </w:style>
  <w:style w:type="table" w:styleId="69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7" w:default="1">
    <w:name w:val="No List"/>
    <w:uiPriority w:val="99"/>
    <w:semiHidden/>
    <w:unhideWhenUsed/>
    <w:pPr>
      <w:pBdr/>
      <w:spacing/>
      <w:ind/>
    </w:pPr>
  </w:style>
  <w:style w:type="paragraph" w:styleId="698">
    <w:name w:val="Normal (Web)"/>
    <w:basedOn w:val="692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pt-BR"/>
    </w:rPr>
  </w:style>
  <w:style w:type="paragraph" w:styleId="699">
    <w:name w:val="No Spacing"/>
    <w:uiPriority w:val="1"/>
    <w:qFormat/>
    <w:pPr>
      <w:pBdr/>
      <w:spacing/>
      <w:ind/>
    </w:pPr>
    <w:rPr>
      <w:sz w:val="22"/>
      <w:szCs w:val="22"/>
      <w:lang w:eastAsia="en-US"/>
    </w:rPr>
  </w:style>
  <w:style w:type="character" w:styleId="700" w:customStyle="1">
    <w:name w:val="Título 1 Char"/>
    <w:link w:val="693"/>
    <w:uiPriority w:val="9"/>
    <w:pPr>
      <w:pBdr/>
      <w:spacing/>
      <w:ind/>
    </w:pPr>
    <w:rPr>
      <w:rFonts w:ascii="Calibri Light" w:hAnsi="Calibri Light" w:eastAsia="Times New Roman" w:cs="Times New Roman"/>
      <w:color w:val="2e74b5"/>
      <w:sz w:val="32"/>
      <w:szCs w:val="32"/>
    </w:rPr>
  </w:style>
  <w:style w:type="paragraph" w:styleId="701">
    <w:name w:val="Title"/>
    <w:basedOn w:val="692"/>
    <w:next w:val="692"/>
    <w:link w:val="702"/>
    <w:uiPriority w:val="10"/>
    <w:qFormat/>
    <w:pPr>
      <w:pBdr/>
      <w:spacing w:after="0" w:line="240" w:lineRule="auto"/>
      <w:ind/>
      <w:contextualSpacing w:val="true"/>
    </w:pPr>
    <w:rPr>
      <w:rFonts w:ascii="Calibri Light" w:hAnsi="Calibri Light" w:eastAsia="Times New Roman"/>
      <w:spacing w:val="-10"/>
      <w:sz w:val="56"/>
      <w:szCs w:val="56"/>
    </w:rPr>
  </w:style>
  <w:style w:type="character" w:styleId="702" w:customStyle="1">
    <w:name w:val="Título Char"/>
    <w:link w:val="701"/>
    <w:uiPriority w:val="10"/>
    <w:pPr>
      <w:pBdr/>
      <w:spacing/>
      <w:ind/>
    </w:pPr>
    <w:rPr>
      <w:rFonts w:ascii="Calibri Light" w:hAnsi="Calibri Light" w:eastAsia="Times New Roman" w:cs="Times New Roman"/>
      <w:spacing w:val="-10"/>
      <w:sz w:val="56"/>
      <w:szCs w:val="56"/>
    </w:rPr>
  </w:style>
  <w:style w:type="paragraph" w:styleId="703">
    <w:name w:val="List Paragraph"/>
    <w:basedOn w:val="692"/>
    <w:link w:val="707"/>
    <w:uiPriority w:val="1"/>
    <w:qFormat/>
    <w:pPr>
      <w:pBdr/>
      <w:spacing w:after="0" w:line="240" w:lineRule="auto"/>
      <w:ind w:left="720"/>
      <w:contextualSpacing w:val="true"/>
    </w:pPr>
    <w:rPr>
      <w:sz w:val="24"/>
      <w:szCs w:val="24"/>
    </w:rPr>
  </w:style>
  <w:style w:type="paragraph" w:styleId="704" w:customStyle="1">
    <w:name w:val="Default"/>
    <w:pPr>
      <w:pBdr/>
      <w:spacing/>
      <w:ind/>
    </w:pPr>
    <w:rPr>
      <w:rFonts w:ascii="Arial" w:hAnsi="Arial" w:cs="Arial"/>
      <w:color w:val="000000"/>
      <w:sz w:val="24"/>
      <w:szCs w:val="24"/>
      <w:lang w:eastAsia="en-US"/>
    </w:rPr>
  </w:style>
  <w:style w:type="character" w:styleId="705" w:customStyle="1">
    <w:name w:val="Título 3 Char"/>
    <w:basedOn w:val="695"/>
    <w:link w:val="694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en-US"/>
    </w:rPr>
  </w:style>
  <w:style w:type="character" w:styleId="706">
    <w:name w:val="Strong"/>
    <w:basedOn w:val="695"/>
    <w:uiPriority w:val="22"/>
    <w:qFormat/>
    <w:pPr>
      <w:pBdr/>
      <w:spacing/>
      <w:ind/>
    </w:pPr>
    <w:rPr>
      <w:b/>
      <w:bCs/>
    </w:rPr>
  </w:style>
  <w:style w:type="character" w:styleId="707" w:customStyle="1">
    <w:name w:val="Parágrafo da Lista Char"/>
    <w:link w:val="703"/>
    <w:uiPriority w:val="1"/>
    <w:qFormat/>
    <w:pPr>
      <w:pBdr/>
      <w:spacing/>
      <w:ind/>
    </w:pPr>
    <w:rPr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Relationship Id="rId13" Type="http://schemas.openxmlformats.org/officeDocument/2006/relationships/image" Target="media/image1.jpg"/><Relationship Id="rId14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AED1B117F6894D909B25A69A4597D2" ma:contentTypeVersion="11" ma:contentTypeDescription="Crie um novo documento." ma:contentTypeScope="" ma:versionID="fc0e1081098a96f1fc26b259e7bbb1c8">
  <xsd:schema xmlns:xsd="http://www.w3.org/2001/XMLSchema" xmlns:xs="http://www.w3.org/2001/XMLSchema" xmlns:p="http://schemas.microsoft.com/office/2006/metadata/properties" xmlns:ns2="0cd93fe2-0880-41f5-aab4-f958682b72cb" xmlns:ns3="18000554-2c77-4cf4-9366-a485aa9d7e35" targetNamespace="http://schemas.microsoft.com/office/2006/metadata/properties" ma:root="true" ma:fieldsID="f39cd65ee00b5e4c5dd2756fb7575f2f" ns2:_="" ns3:_="">
    <xsd:import namespace="0cd93fe2-0880-41f5-aab4-f958682b72cb"/>
    <xsd:import namespace="18000554-2c77-4cf4-9366-a485aa9d7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93fe2-0880-41f5-aab4-f958682b7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00554-2c77-4cf4-9366-a485aa9d7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72EE77-8DF4-4042-85A6-93F638E35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EBEC5D-7930-4096-811E-3974E15CE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93fe2-0880-41f5-aab4-f958682b72cb"/>
    <ds:schemaRef ds:uri="18000554-2c77-4cf4-9366-a485aa9d7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DB5A6EEF-EB5C-41E5-AF63-77DC10021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765762-870E-45AA-A1E2-3D963434BCEC}">
  <ds:schemaRefs>
    <ds:schemaRef ds:uri="http://schemas.microsoft.com/office/2006/metadata/properties"/>
    <ds:schemaRef ds:uri="http://schemas.microsoft.com/office/infopath/2007/PartnerControls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Teresinha Torquato Pinho - Secretaria</dc:creator>
  <cp:keywords/>
  <dc:description/>
  <cp:revision>3</cp:revision>
  <dcterms:created xsi:type="dcterms:W3CDTF">2025-04-23T18:24:00Z</dcterms:created>
  <dcterms:modified xsi:type="dcterms:W3CDTF">2025-08-26T19:42:06Z</dcterms:modified>
</cp:coreProperties>
</file>