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081322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center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ORGANIZAÇÃO DIDÁTICO-PEDAGÓGICA</w:t>
        <w:br/>
        <w:t xml:space="preserve">ATIVIDADES COMPLEMENTARES (AACC)</w:t>
      </w:r>
      <w:r/>
      <w:r>
        <w:rPr>
          <w:rFonts w:ascii="Times New Roman" w:hAnsi="Times New Roman" w:eastAsia="Times New Roman" w:cs="Times New Roman"/>
          <w:sz w:val="24"/>
        </w:rPr>
      </w:r>
    </w:p>
    <w:p w14:paraId="478820B6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As Atividades Complementares (ACs) do Curso Superior de Tecnologia em Processos Gerenciais do Centro Universitário Nossa Senhora do Patrocínio (CEUNSP) constituem componente curricular obrigatório para a integralização e colação de grau, em estrita observâ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ncia ao Parecer CNE/CES nº 67/2003 e aos 15 Pilares do Modelo Educacional da Instituição. Este componente visa expandir os horizontes formativos por meio de intercâmbios práticos com o mercado de trabalho region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al, integrando de maneira indissociável o Ensino, a Pesquisa e a Extensão.</w:t>
      </w:r>
      <w:r/>
    </w:p>
    <w:p w14:paraId="7DC71BE7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I. Diretrizes de Temporalidade, Validação e Ambiente Regulatório</w:t>
      </w:r>
      <w:r/>
    </w:p>
    <w:p w14:paraId="483956E4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O regime de cumprimento e validação das horas complementares obedece às seguintes determinações normativas instituídas pela governança acadêmica:</w:t>
      </w:r>
      <w:r/>
    </w:p>
    <w:p w14:paraId="4C4E70F3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Vigência Acadêmica: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São elegíveis para cômputo e pontuação exclusivamente as atividades executadas a partir do ato formal de matrícula e ao longo do período em que o discente mantiver vínculo ativo na graduação. Atividades realizadas anteriormente ao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ingresso na IES não possuem validade.</w:t>
      </w:r>
      <w:r/>
    </w:p>
    <w:p w14:paraId="4B52787C">
      <w:pPr>
        <w:pStyle w:val="668"/>
        <w:numPr>
          <w:ilvl w:val="0"/>
          <w:numId w:val="1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Condição de Retenção e Vínculo: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O inadimplemento da carga horária de ACs até o término regular do curso obsta a colação de grau. O discente retido nesta condição obriga-se a efetuar uma nova rematrícula no período letivo subsequente e incluir uma disciplina eleti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va para fins de manutenção do registro de seu vínculo acadêmico institucional.</w:t>
      </w:r>
      <w:r/>
    </w:p>
    <w:p w14:paraId="7CFCA21D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II. Quadro de Atividades, Especificidade e Tetos de Aproveitamento</w:t>
      </w:r>
      <w:r/>
    </w:p>
    <w:p w14:paraId="5F906ED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Para assegurar a pluralidade e a interdisciplinaridade da formação em gestão, as atividades são diversificadas em grupos de competências, cujas regras de pontuação e tetos máximos por categoria são definidos no Quadro de Atividades Complementares de Proces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sos Gerenciais. Este documento normativo é disponibilizado de forma transparente no portal sob o caminho 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Área do Aluno &gt; Atividades Complementares &gt; Regulamento e Tutoriais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 w14:paraId="45F6FDCD">
      <w:pPr>
        <w:pStyle w:val="668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Ensino e Capacitação: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Focado em cursos livres voltados às áreas de finanças, liderança e processos organizacionais, com fomento às trilhas corporativas chanceladas pelo parceiro estratégico SEBRAE, além de visitas técnicas monitoradas e presença em webinars.</w:t>
      </w:r>
      <w:r/>
    </w:p>
    <w:p w14:paraId="739D32F0">
      <w:pPr>
        <w:pStyle w:val="668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Pesquisa e Produção Científica: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Participação em projetos de iniciação científica orientados por docentes (PIBIC), publicações de artigos acadêmicos ou presença ativa em congressos e seminários promovidos pela área de Gestão e Negócios.</w:t>
      </w:r>
      <w:r/>
    </w:p>
    <w:p w14:paraId="63F072BC">
      <w:pPr>
        <w:pStyle w:val="668"/>
        <w:numPr>
          <w:ilvl w:val="0"/>
          <w:numId w:val="2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Extensão e Responsabilidade Social: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Atividades de valor comunitário e de diagnóstico empresarial desenvolvidas em parceria com o ecossistema empreendedor local, alinhadas de forma contínua às competências propostas na disciplina transversal de Gestão Ambiental e Responsabilidade Social.</w:t>
      </w:r>
      <w:r/>
    </w:p>
    <w:p w14:paraId="65E38AEB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III. Segregação Acadêmica: Estágios vs. AACCs</w:t>
      </w:r>
      <w:r/>
    </w:p>
    <w:p w14:paraId="3CB0867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O regulamento institucional impõe uma distinção nítida entre os componentes curriculares para evitar a sobreposição de carga horária ou o duplo cômputo de horas:</w:t>
      </w:r>
      <w:r/>
    </w:p>
    <w:p w14:paraId="63424174"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Estágios Curriculares Obrigatórios: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Não são aceitos para a validação de horas complementares, haja vista possuírem caráter regular e longitudinal integrado à matriz de formação técnica essencial.</w:t>
      </w:r>
      <w:r/>
    </w:p>
    <w:p w14:paraId="0686E2DC">
      <w:pPr>
        <w:pStyle w:val="668"/>
        <w:numPr>
          <w:ilvl w:val="0"/>
          <w:numId w:val="3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Estágios Extracurriculares Não Obrigatórios: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São elegíveis para validação e cômputo de ACs, desde que as rotinas e funções de gestão desempenhadas na empresa parceira sejam rigorosamente condizentes com o perfil do egresso do tecnólogo e estejam listadas nas modalidades aceitas pelo Quadro de Ativid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ades do curso .</w:t>
      </w:r>
      <w:r/>
    </w:p>
    <w:p w14:paraId="057CBE10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IV. Sistemática Operacional de Fluxo, Auditoria e Revisão Digital</w:t>
      </w:r>
      <w:r/>
    </w:p>
    <w:p w14:paraId="3DCAC37C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after="240" w:before="240"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O fluxo de submissão, avaliação técnica e governança das ACs ocorre por processamento digitalizado, garantindo a rastreabilidade do processo avaliativo:</w:t>
      </w:r>
      <w:r/>
    </w:p>
    <w:p w14:paraId="48EC3FE0"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Análise e Feedback: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 coordenação do curso realiza a auditoria documental e a verificação da pertinência temática dos certificados anexados pela Área do Aluno dentro do prazo regulamentar institucional de até 30 dias úteis.</w:t>
      </w:r>
      <w:r/>
    </w:p>
    <w:p w14:paraId="54D3A9E4"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Devolutiva e Transparência: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No caso de atividades não aprovadas, o motivo detalhado do indeferimento fica disponível para consulta discente na aba 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Consultas de Comprovantes &gt; Ver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resguardando o direito de correção e novo cadastro dentro dos prazos estabelecidos no Calendário Acadêmico vigente.</w:t>
      </w:r>
      <w:r/>
    </w:p>
    <w:p w14:paraId="5E67E4C9">
      <w:pPr>
        <w:pStyle w:val="668"/>
        <w:numPr>
          <w:ilvl w:val="0"/>
          <w:numId w:val="4"/>
        </w:num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/>
        <w:jc w:val="both"/>
        <w:rPr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Mecanismo de Contraditório: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Após o encerramento do período regular de correções semestrais, o estudante pode solicitar formalmente a reapreciação de seus documentos por meio do serviço eletrônico de </w:t>
      </w:r>
      <w:r>
        <w:rPr>
          <w:rFonts w:ascii="Times New Roman" w:hAnsi="Times New Roman" w:eastAsia="Times New Roman" w:cs="Times New Roman"/>
          <w:i/>
          <w:color w:val="000000"/>
          <w:sz w:val="24"/>
        </w:rPr>
        <w:t xml:space="preserve">Revisão da Análise dos Comprovantes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liberado na Central de Atendimento ao Aluno (CAA On-line), o que consolida a governança, a transparência e o rigor avaliativo do curso.</w:t>
      </w:r>
      <w:r/>
    </w:p>
    <w:p w14:paraId="1C35C90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0" w:left="0"/>
        <w:jc w:val="both"/>
        <w:rPr/>
      </w:pPr>
      <w:r>
        <w:rPr>
          <w:rFonts w:ascii="Times New Roman" w:hAnsi="Times New Roman" w:eastAsia="Times New Roman" w:cs="Times New Roman"/>
          <w:sz w:val="24"/>
        </w:rPr>
      </w:r>
      <w:r/>
    </w:p>
    <w:p>
      <w:pPr>
        <w:pBdr/>
        <w:spacing/>
        <w:ind/>
        <w:jc w:val="both"/>
        <w:rPr/>
      </w:pPr>
      <w:r/>
      <w:bookmarkStart w:id="0" w:name="_GoBack"/>
      <w:r/>
      <w:bookmarkEnd w:id="0"/>
      <w:r/>
      <w:r/>
    </w:p>
    <w:sectPr>
      <w:headerReference w:type="default" r:id="rId9"/>
      <w:footnotePr/>
      <w:endnotePr/>
      <w:type w:val="nextPage"/>
      <w:pgSz w:h="16838" w:orient="portrait" w:w="11906"/>
      <w:pgMar w:top="1417" w:right="1701" w:bottom="141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4B74424E">
    <w:pPr>
      <w:pStyle w:val="176"/>
      <w:pBdr/>
      <w:spacing/>
      <w:ind/>
      <w:rPr/>
    </w:pPr>
    <w:r/>
    <w:r/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5200" distR="115200" simplePos="0" relativeHeight="2048" behindDoc="0" locked="0" layoutInCell="1" allowOverlap="1">
              <wp:simplePos x="0" y="0"/>
              <wp:positionH relativeFrom="column">
                <wp:posOffset>1733550</wp:posOffset>
              </wp:positionH>
              <wp:positionV relativeFrom="paragraph">
                <wp:posOffset>-295275</wp:posOffset>
              </wp:positionV>
              <wp:extent cx="1649564" cy="574770"/>
              <wp:effectExtent l="0" t="0" r="0" b="0"/>
              <wp:wrapSquare wrapText="bothSides"/>
              <wp:docPr id="1" name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726470" name=""/>
                      <pic:cNvPicPr>
                        <a:picLocks noChangeAspect="1"/>
                      </pic:cNvPicPr>
                      <pic:nv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 flipH="0" flipV="0">
                        <a:off x="0" y="0"/>
                        <a:ext cx="1649563" cy="57476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048;o:allowoverlap:true;o:allowincell:true;mso-position-horizontal-relative:text;margin-left:136.50pt;mso-position-horizontal:absolute;mso-position-vertical-relative:text;margin-top:-23.25pt;mso-position-vertical:absolute;width:129.89pt;height:45.26pt;mso-wrap-distance-left:9.07pt;mso-wrap-distance-top:0.00pt;mso-wrap-distance-right:9.07pt;mso-wrap-distance-bottom:0.00pt;z-index:1;" stroked="false">
              <w10:wrap type="square"/>
              <v:imagedata r:id="rId1" o:title=""/>
              <o:lock v:ext="edit" rotation="t"/>
            </v:shape>
          </w:pict>
        </mc:Fallback>
      </mc:AlternateContent>
    </w:r>
    <w:r/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7BF27A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nsid w:val="4E78C1A8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nsid w:val="0BC18CA8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nsid w:val="6E1D8636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nsid w:val="1730A9A2"/>
    <w:lvl w:ilvl="0">
      <w:isLgl w:val="false"/>
      <w:lvlJc w:val="righ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right"/>
      <w:lvlText w:val="%2."/>
      <w:numFmt w:val="decimal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decimal"/>
      <w:pPr>
        <w:pBdr/>
        <w:spacing/>
        <w:ind w:hanging="360" w:left="2149"/>
      </w:pPr>
      <w:rPr/>
      <w:start w:val="1"/>
      <w:suff w:val="tab"/>
    </w:lvl>
    <w:lvl w:ilvl="3">
      <w:isLgl w:val="false"/>
      <w:lvlJc w:val="righ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right"/>
      <w:lvlText w:val="%5."/>
      <w:numFmt w:val="decimal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decimal"/>
      <w:pPr>
        <w:pBdr/>
        <w:spacing/>
        <w:ind w:hanging="360" w:left="4309"/>
      </w:pPr>
      <w:rPr/>
      <w:start w:val="1"/>
      <w:suff w:val="tab"/>
    </w:lvl>
    <w:lvl w:ilvl="6">
      <w:isLgl w:val="false"/>
      <w:lvlJc w:val="righ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right"/>
      <w:lvlText w:val="%8."/>
      <w:numFmt w:val="decimal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decimal"/>
      <w:pPr>
        <w:pBdr/>
        <w:spacing/>
        <w:ind w:hanging="360" w:left="6469"/>
      </w:pPr>
      <w:rPr/>
      <w:start w:val="1"/>
      <w:suff w:val="tab"/>
    </w:lvl>
  </w:abstractNum>
  <w:abstractNum w:abstractNumId="5">
    <w:nsid w:val="6EF90E1A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2">
    <w:name w:val="Table Grid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Table Grid Light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66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66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66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66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1"/>
    <w:basedOn w:val="664"/>
    <w:next w:val="664"/>
    <w:link w:val="1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40">
    <w:name w:val="Heading 2"/>
    <w:basedOn w:val="664"/>
    <w:next w:val="66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1">
    <w:name w:val="Heading 3"/>
    <w:basedOn w:val="664"/>
    <w:next w:val="664"/>
    <w:link w:val="1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2">
    <w:name w:val="Heading 4"/>
    <w:basedOn w:val="664"/>
    <w:next w:val="66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3">
    <w:name w:val="Heading 5"/>
    <w:basedOn w:val="664"/>
    <w:next w:val="664"/>
    <w:link w:val="1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4">
    <w:name w:val="Heading 6"/>
    <w:basedOn w:val="664"/>
    <w:next w:val="66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5">
    <w:name w:val="Heading 7"/>
    <w:basedOn w:val="664"/>
    <w:next w:val="66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664"/>
    <w:next w:val="66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664"/>
    <w:next w:val="66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8" w:default="1">
    <w:name w:val="Default Paragraph Font"/>
    <w:uiPriority w:val="1"/>
    <w:semiHidden/>
    <w:unhideWhenUsed/>
    <w:pPr>
      <w:pBdr/>
      <w:spacing/>
      <w:ind/>
    </w:pPr>
  </w:style>
  <w:style w:type="character" w:styleId="150">
    <w:name w:val="Heading 1 Char"/>
    <w:basedOn w:val="148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148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148"/>
    <w:link w:val="1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148"/>
    <w:link w:val="14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148"/>
    <w:link w:val="1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148"/>
    <w:link w:val="1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148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148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148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9">
    <w:name w:val="Title"/>
    <w:basedOn w:val="664"/>
    <w:next w:val="664"/>
    <w:link w:val="1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60">
    <w:name w:val="Title Char"/>
    <w:basedOn w:val="148"/>
    <w:link w:val="1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664"/>
    <w:next w:val="66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148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664"/>
    <w:next w:val="66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148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6">
    <w:name w:val="Intense Emphasis"/>
    <w:basedOn w:val="14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7">
    <w:name w:val="Intense Quote"/>
    <w:basedOn w:val="664"/>
    <w:next w:val="66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148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14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1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148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148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1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1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6">
    <w:name w:val="Header"/>
    <w:basedOn w:val="664"/>
    <w:link w:val="1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7">
    <w:name w:val="Header Char"/>
    <w:basedOn w:val="148"/>
    <w:link w:val="176"/>
    <w:uiPriority w:val="99"/>
    <w:pPr>
      <w:pBdr/>
      <w:spacing/>
      <w:ind/>
    </w:pPr>
  </w:style>
  <w:style w:type="paragraph" w:styleId="178">
    <w:name w:val="Footer"/>
    <w:basedOn w:val="664"/>
    <w:link w:val="17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9">
    <w:name w:val="Footer Char"/>
    <w:basedOn w:val="148"/>
    <w:link w:val="178"/>
    <w:uiPriority w:val="99"/>
    <w:pPr>
      <w:pBdr/>
      <w:spacing/>
      <w:ind/>
    </w:pPr>
  </w:style>
  <w:style w:type="paragraph" w:styleId="180">
    <w:name w:val="Caption"/>
    <w:basedOn w:val="664"/>
    <w:next w:val="66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66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148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66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148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148"/>
    <w:uiPriority w:val="99"/>
    <w:semiHidden/>
    <w:unhideWhenUsed/>
    <w:pPr>
      <w:pBdr/>
      <w:spacing/>
      <w:ind/>
    </w:pPr>
    <w:rPr>
      <w:vertAlign w:val="superscript"/>
    </w:rPr>
  </w:style>
  <w:style w:type="character" w:styleId="187">
    <w:name w:val="Hyperlink"/>
    <w:basedOn w:val="1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8">
    <w:name w:val="FollowedHyperlink"/>
    <w:basedOn w:val="1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9">
    <w:name w:val="toc 1"/>
    <w:basedOn w:val="664"/>
    <w:next w:val="664"/>
    <w:uiPriority w:val="39"/>
    <w:unhideWhenUsed/>
    <w:pPr>
      <w:pBdr/>
      <w:spacing w:after="100"/>
      <w:ind/>
    </w:pPr>
  </w:style>
  <w:style w:type="paragraph" w:styleId="190">
    <w:name w:val="toc 2"/>
    <w:basedOn w:val="664"/>
    <w:next w:val="664"/>
    <w:uiPriority w:val="39"/>
    <w:unhideWhenUsed/>
    <w:pPr>
      <w:pBdr/>
      <w:spacing w:after="100"/>
      <w:ind w:left="220"/>
    </w:pPr>
  </w:style>
  <w:style w:type="paragraph" w:styleId="191">
    <w:name w:val="toc 3"/>
    <w:basedOn w:val="664"/>
    <w:next w:val="664"/>
    <w:uiPriority w:val="39"/>
    <w:unhideWhenUsed/>
    <w:pPr>
      <w:pBdr/>
      <w:spacing w:after="100"/>
      <w:ind w:left="440"/>
    </w:pPr>
  </w:style>
  <w:style w:type="paragraph" w:styleId="192">
    <w:name w:val="toc 4"/>
    <w:basedOn w:val="664"/>
    <w:next w:val="664"/>
    <w:uiPriority w:val="39"/>
    <w:unhideWhenUsed/>
    <w:pPr>
      <w:pBdr/>
      <w:spacing w:after="100"/>
      <w:ind w:left="660"/>
    </w:pPr>
  </w:style>
  <w:style w:type="paragraph" w:styleId="193">
    <w:name w:val="toc 5"/>
    <w:basedOn w:val="664"/>
    <w:next w:val="664"/>
    <w:uiPriority w:val="39"/>
    <w:unhideWhenUsed/>
    <w:pPr>
      <w:pBdr/>
      <w:spacing w:after="100"/>
      <w:ind w:left="880"/>
    </w:pPr>
  </w:style>
  <w:style w:type="paragraph" w:styleId="194">
    <w:name w:val="toc 6"/>
    <w:basedOn w:val="664"/>
    <w:next w:val="664"/>
    <w:uiPriority w:val="39"/>
    <w:unhideWhenUsed/>
    <w:pPr>
      <w:pBdr/>
      <w:spacing w:after="100"/>
      <w:ind w:left="1100"/>
    </w:pPr>
  </w:style>
  <w:style w:type="paragraph" w:styleId="195">
    <w:name w:val="toc 7"/>
    <w:basedOn w:val="664"/>
    <w:next w:val="664"/>
    <w:uiPriority w:val="39"/>
    <w:unhideWhenUsed/>
    <w:pPr>
      <w:pBdr/>
      <w:spacing w:after="100"/>
      <w:ind w:left="1320"/>
    </w:pPr>
  </w:style>
  <w:style w:type="paragraph" w:styleId="196">
    <w:name w:val="toc 8"/>
    <w:basedOn w:val="664"/>
    <w:next w:val="664"/>
    <w:uiPriority w:val="39"/>
    <w:unhideWhenUsed/>
    <w:pPr>
      <w:pBdr/>
      <w:spacing w:after="100"/>
      <w:ind w:left="1540"/>
    </w:pPr>
  </w:style>
  <w:style w:type="paragraph" w:styleId="197">
    <w:name w:val="toc 9"/>
    <w:basedOn w:val="664"/>
    <w:next w:val="664"/>
    <w:uiPriority w:val="39"/>
    <w:unhideWhenUsed/>
    <w:pPr>
      <w:pBdr/>
      <w:spacing w:after="100"/>
      <w:ind w:left="1760"/>
    </w:pPr>
  </w:style>
  <w:style w:type="character" w:styleId="198">
    <w:name w:val="Placeholder Text"/>
    <w:basedOn w:val="148"/>
    <w:uiPriority w:val="99"/>
    <w:semiHidden/>
    <w:pPr>
      <w:pBdr/>
      <w:spacing/>
      <w:ind/>
    </w:pPr>
    <w:rPr>
      <w:color w:val="666666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664"/>
    <w:next w:val="664"/>
    <w:uiPriority w:val="99"/>
    <w:unhideWhenUsed/>
    <w:pPr>
      <w:pBdr/>
      <w:spacing w:after="0" w:afterAutospacing="0"/>
      <w:ind/>
    </w:pPr>
  </w:style>
  <w:style w:type="paragraph" w:styleId="664" w:default="1">
    <w:name w:val="Normal"/>
    <w:qFormat/>
    <w:pPr>
      <w:pBdr/>
      <w:spacing/>
      <w:ind/>
    </w:pPr>
  </w:style>
  <w:style w:type="table" w:styleId="66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6" w:default="1">
    <w:name w:val="No List"/>
    <w:uiPriority w:val="99"/>
    <w:semiHidden/>
    <w:unhideWhenUsed/>
    <w:pPr>
      <w:pBdr/>
      <w:spacing/>
      <w:ind/>
    </w:pPr>
  </w:style>
  <w:style w:type="paragraph" w:styleId="667">
    <w:name w:val="No Spacing"/>
    <w:basedOn w:val="664"/>
    <w:uiPriority w:val="1"/>
    <w:qFormat/>
    <w:pPr>
      <w:pBdr/>
      <w:spacing w:after="0" w:line="240" w:lineRule="auto"/>
      <w:ind/>
    </w:pPr>
  </w:style>
  <w:style w:type="paragraph" w:styleId="668">
    <w:name w:val="List Paragraph"/>
    <w:basedOn w:val="664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modified xsi:type="dcterms:W3CDTF">2026-05-22T13:15:09Z</dcterms:modified>
</cp:coreProperties>
</file>