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jc w:val="center"/>
        <w:rPr/>
      </w:pPr>
      <w:r>
        <w:rPr>
          <w:rFonts w:ascii="Times New Roman" w:hAnsi="Times New Roman"/>
          <w:b/>
          <w:sz w:val="24"/>
        </w:rPr>
        <w:t xml:space="preserve">CRUZEIRO DO SUL EDUCACIONAL</w:t>
        <w:br/>
      </w:r>
      <w:r>
        <w:rPr>
          <w:rFonts w:ascii="Times New Roman" w:hAnsi="Times New Roman"/>
          <w:b/>
          <w:sz w:val="24"/>
        </w:rPr>
        <w:t xml:space="preserve">CURSO SUPERIOR DE TECNOLOGIA EM PROCESSOS GERENCIAIS</w:t>
        <w:br/>
      </w:r>
      <w:r>
        <w:rPr>
          <w:rFonts w:ascii="Times New Roman" w:hAnsi="Times New Roman"/>
          <w:b/>
          <w:sz w:val="24"/>
        </w:rPr>
        <w:t xml:space="preserve">CAMPUS SALTO</w:t>
        <w:br/>
      </w:r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jc w:val="center"/>
        <w:rPr/>
      </w:pPr>
      <w:r>
        <w:rPr>
          <w:rFonts w:ascii="Times New Roman" w:hAnsi="Times New Roman"/>
          <w:b/>
          <w:sz w:val="24"/>
        </w:rPr>
        <w:t xml:space="preserve">PLANO DE MELHORIA CONTÍNUA DO CURSO SUPERIOR DE TECNOLOGIA EM PROCESSOS GERENCIAIS</w:t>
        <w:br/>
      </w:r>
      <w:r>
        <w:rPr>
          <w:rFonts w:ascii="Times New Roman" w:hAnsi="Times New Roman"/>
          <w:sz w:val="24"/>
        </w:rPr>
        <w:t xml:space="preserve">Ênfase em vivências empresariais, metodologias ativas e evidências para recredenciamento</w:t>
      </w:r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SALTO/SP</w:t>
        <w:br/>
        <w:t xml:space="preserve">2026</w:t>
      </w:r>
      <w:r/>
    </w:p>
    <w:p w14:paraId="46E89309">
      <w:pPr>
        <w:pBdr/>
        <w:spacing/>
        <w:ind/>
        <w:jc w:val="center"/>
        <w:rPr/>
      </w:pPr>
      <w:r>
        <w:rPr>
          <w:rFonts w:ascii="Times New Roman" w:hAnsi="Times New Roman"/>
          <w:sz w:val="24"/>
        </w:rPr>
      </w:r>
      <w:r>
        <w:rPr>
          <w:rFonts w:ascii="Times New Roman" w:hAnsi="Times New Roman"/>
          <w:b/>
          <w:sz w:val="24"/>
        </w:rPr>
        <w:t xml:space="preserve">PLANO DE MELHORIA CONTÍNUA DO CURSO SUPERIOR DE TECNOLOGIA EM PROCESSOS GERENCIAIS – CAMPUS SALTO</w:t>
      </w: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 w:line="360" w:lineRule="auto"/>
        <w:ind w:left="3969"/>
        <w:jc w:val="both"/>
        <w:rPr/>
      </w:pPr>
      <w:r>
        <w:rPr>
          <w:rFonts w:ascii="Times New Roman" w:hAnsi="Times New Roman"/>
          <w:sz w:val="24"/>
        </w:rPr>
        <w:t xml:space="preserve">Documento técnico-pedagógico elaborado para subsidiar o processo de</w:t>
      </w:r>
      <w:r>
        <w:rPr>
          <w:rFonts w:ascii="Times New Roman" w:hAnsi="Times New Roman"/>
          <w:sz w:val="24"/>
        </w:rPr>
        <w:t xml:space="preserve"> recredenciamento do curso junto ao Ministério da Educação, sem alteração do ementário vigente, com foco em melhoria contínua, integração curricular, metodologias ativas, práticas simuladas de gestão e uso otimizado dos recursos institucionais disponíveis.</w:t>
      </w:r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jc w:val="center"/>
        <w:rPr/>
      </w:pPr>
      <w:r>
        <w:rPr>
          <w:rFonts w:ascii="Times New Roman" w:hAnsi="Times New Roman"/>
          <w:sz w:val="24"/>
        </w:rPr>
        <w:t xml:space="preserve">SALTO/SP</w:t>
        <w:br/>
        <w:t xml:space="preserve">2026</w:t>
      </w:r>
      <w:r/>
    </w:p>
    <w:p>
      <w:pPr>
        <w:pBdr/>
        <w:spacing/>
        <w:ind/>
        <w:rPr/>
      </w:pPr>
      <w:r>
        <w:br w:type="page" w:clear="all"/>
      </w:r>
      <w:r/>
      <w:r/>
      <w:r/>
      <w:r/>
    </w:p>
    <w:p>
      <w:pPr>
        <w:pStyle w:val="703"/>
        <w:pBdr/>
        <w:spacing w:after="120" w:before="240"/>
        <w:ind/>
        <w:jc w:val="left"/>
        <w:rPr/>
      </w:pPr>
      <w:r>
        <w:rPr>
          <w:rFonts w:ascii="Times New Roman" w:hAnsi="Times New Roman"/>
          <w:b/>
          <w:color w:val="000000"/>
          <w:sz w:val="24"/>
        </w:rPr>
        <w:t xml:space="preserve">1 INTRODUÇÃO</w:t>
      </w:r>
      <w:r/>
    </w:p>
    <w:p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</w:rPr>
        <w:t xml:space="preserve">O presente Plano de Melhoria Contínua do Curso Superior de Tecnologia em Processos Gerenciais – Campus Salto apresent</w:t>
      </w:r>
      <w:r>
        <w:rPr>
          <w:rFonts w:ascii="Times New Roman" w:hAnsi="Times New Roman"/>
          <w:b w:val="0"/>
          <w:sz w:val="24"/>
        </w:rPr>
        <w:t xml:space="preserve">a diretrizes acadêmicas, pedagógicas e operacionais destinadas ao fortalecimento da qualidade do curso, com foco na obtenção de desempenho máximo nos processos avaliativos externos, especialmente no contexto de recredenciamento pelo Ministério da Educação.</w:t>
      </w:r>
      <w:r/>
    </w:p>
    <w:p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</w:rPr>
        <w:t xml:space="preserve">A proposta foi elaborada considerando três premissas institucionais fundamentais: manutenção integra</w:t>
      </w:r>
      <w:r>
        <w:rPr>
          <w:rFonts w:ascii="Times New Roman" w:hAnsi="Times New Roman"/>
          <w:b w:val="0"/>
          <w:sz w:val="24"/>
        </w:rPr>
        <w:t xml:space="preserve">l do ementário vigente; respeito ao modelo avaliativo regimental, composto por A1 e A2; e utilização prioritária dos recursos atualmente disponíveis, sem previsão de investimentos relevantes, reformas físicas ou alterações estruturais da matriz curricular.</w:t>
      </w:r>
      <w:r/>
    </w:p>
    <w:p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</w:rPr>
        <w:t xml:space="preserve">O curso possui ementário abrangente e coerente com a formação tecnológica em gestão, contemplando disciplinas de mercado, economia, liderança, recursos humanos, custos, contabilidade, finanças, cadeia de suprimentos, m</w:t>
      </w:r>
      <w:r>
        <w:rPr>
          <w:rFonts w:ascii="Times New Roman" w:hAnsi="Times New Roman"/>
          <w:b w:val="0"/>
          <w:sz w:val="24"/>
        </w:rPr>
        <w:t xml:space="preserve">arketing digital, operações, direito, projetos, empreendedorismo, extensão e sistemas de apoio à decisão. Dessa forma, a melhoria proposta concentra-se na forma de operacionalização pedagógica das disciplinas, e não na alteração de seus conteúdos oficiais.</w:t>
      </w:r>
      <w:r/>
    </w:p>
    <w:p>
      <w:pPr>
        <w:pStyle w:val="703"/>
        <w:pBdr/>
        <w:spacing w:after="120" w:before="240"/>
        <w:ind/>
        <w:jc w:val="left"/>
        <w:rPr/>
      </w:pPr>
      <w:r>
        <w:rPr>
          <w:rFonts w:ascii="Times New Roman" w:hAnsi="Times New Roman"/>
          <w:b/>
          <w:color w:val="000000"/>
          <w:sz w:val="24"/>
        </w:rPr>
        <w:t xml:space="preserve">2 JUSTIFICATIVA</w:t>
      </w:r>
      <w:r/>
    </w:p>
    <w:p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</w:rPr>
        <w:t xml:space="preserve">A formação de tecnólogos em Processos Gerenciais exige articulação efetiva entre fundamentos conc</w:t>
      </w:r>
      <w:r>
        <w:rPr>
          <w:rFonts w:ascii="Times New Roman" w:hAnsi="Times New Roman"/>
          <w:b w:val="0"/>
          <w:sz w:val="24"/>
        </w:rPr>
        <w:t xml:space="preserve">eituais e aplicação prática. O egresso deve demonstrar capacidade de diagnosticar problemas organizacionais, propor soluções viáveis, interpretar indicadores, liderar equipes, planejar recursos, acompanhar processos e tomar decisões com base em evidências.</w:t>
      </w:r>
      <w:r/>
    </w:p>
    <w:p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</w:rPr>
        <w:t xml:space="preserve">Nesse sentido, a melhoria contínua do curso deve priorizar experiências acadêmicas que simulem contextos empresariais re</w:t>
      </w:r>
      <w:r>
        <w:rPr>
          <w:rFonts w:ascii="Times New Roman" w:hAnsi="Times New Roman"/>
          <w:b w:val="0"/>
          <w:sz w:val="24"/>
        </w:rPr>
        <w:t xml:space="preserve">ais. A sala de aula, o AVA, os laboratórios existentes, as ferramentas digitais de uso cotidiano e os trabalhos avaliativos podem ser convertidos em espaços de experimentação gerencial, fortalecendo a aprendizagem significativa sem gerar custos adicionais.</w:t>
      </w:r>
      <w:r/>
    </w:p>
    <w:p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</w:rPr>
        <w:t xml:space="preserve">A proposta também contribui para a produção de evidências verif</w:t>
      </w:r>
      <w:r>
        <w:rPr>
          <w:rFonts w:ascii="Times New Roman" w:hAnsi="Times New Roman"/>
          <w:b w:val="0"/>
          <w:sz w:val="24"/>
        </w:rPr>
        <w:t xml:space="preserve">icáveis em processos de avaliação externa, tais como projetos desenvolvidos, rubricas, registros de apresentações, relatórios técnicos, atividades extensionistas, portfólios discentes, atas de reuniões pedagógicas e indicadores de acompanhamento acadêmico.</w:t>
      </w:r>
      <w:r/>
    </w:p>
    <w:p>
      <w:pPr>
        <w:pStyle w:val="703"/>
        <w:pBdr/>
        <w:spacing w:after="120" w:before="240"/>
        <w:ind/>
        <w:jc w:val="left"/>
        <w:rPr/>
      </w:pPr>
      <w:r>
        <w:rPr>
          <w:rFonts w:ascii="Times New Roman" w:hAnsi="Times New Roman"/>
          <w:b/>
          <w:color w:val="000000"/>
          <w:sz w:val="24"/>
        </w:rPr>
        <w:t xml:space="preserve">3 OBJETIVOS</w:t>
      </w:r>
      <w:r/>
    </w:p>
    <w:p>
      <w:pPr>
        <w:pStyle w:val="704"/>
        <w:pBdr/>
        <w:spacing w:after="120" w:before="120"/>
        <w:ind/>
        <w:jc w:val="left"/>
        <w:rPr/>
      </w:pPr>
      <w:r>
        <w:rPr>
          <w:rFonts w:ascii="Times New Roman" w:hAnsi="Times New Roman"/>
          <w:b/>
          <w:color w:val="000000"/>
          <w:sz w:val="24"/>
        </w:rPr>
        <w:t xml:space="preserve">3.1 Objetivo geral</w:t>
      </w:r>
      <w:r/>
    </w:p>
    <w:p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</w:rPr>
        <w:t xml:space="preserve">Implantar um modelo de melhoria contínua no Curso Superior de Tecnologia em Processos</w:t>
      </w:r>
      <w:r>
        <w:rPr>
          <w:rFonts w:ascii="Times New Roman" w:hAnsi="Times New Roman"/>
          <w:b w:val="0"/>
          <w:sz w:val="24"/>
        </w:rPr>
        <w:t xml:space="preserve"> Gerenciais – Campus Salto, fortalecendo a integração entre teoria e prática, a aprendizagem por vivências empresariais e a produção de evidências acadêmicas, sem alteração do ementário vigente e sem necessidade de investimentos estruturais significativos.</w:t>
      </w:r>
      <w:r/>
    </w:p>
    <w:p>
      <w:pPr>
        <w:pStyle w:val="704"/>
        <w:pBdr/>
        <w:spacing w:after="120" w:before="120"/>
        <w:ind/>
        <w:jc w:val="left"/>
        <w:rPr/>
      </w:pPr>
      <w:r>
        <w:rPr>
          <w:rFonts w:ascii="Times New Roman" w:hAnsi="Times New Roman"/>
          <w:b/>
          <w:color w:val="000000"/>
          <w:sz w:val="24"/>
        </w:rPr>
        <w:t xml:space="preserve">3.2 Objetivos específicos</w:t>
      </w:r>
      <w:r/>
    </w:p>
    <w:p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</w:rPr>
        <w:t xml:space="preserve">ampliar a aplicação prática dos conteúdos previstos nas disciplinas do ementário vigente;</w:t>
      </w:r>
      <w:r/>
    </w:p>
    <w:p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</w:rPr>
        <w:t xml:space="preserve">organizar atividades integradoras semestrais baseadas em problemas e desafios empresariais;</w:t>
      </w:r>
      <w:r/>
    </w:p>
    <w:p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</w:rPr>
        <w:t xml:space="preserve">adequar o uso da avaliação A2 para incluir projeto ou trabalho prático com valor de 2,0 pontos;</w:t>
      </w:r>
      <w:r/>
    </w:p>
    <w:p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</w:rPr>
        <w:t xml:space="preserve">preservar a avaliação A1 regimental como prova escrita individual no valor de 5,0 pontos;</w:t>
      </w:r>
      <w:r/>
    </w:p>
    <w:p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</w:rPr>
        <w:t xml:space="preserve">fortalecer o protagonismo discente por meio de simulações, estudos de caso e consultorias acadêmicas supervisionadas;</w:t>
      </w:r>
      <w:r/>
    </w:p>
    <w:p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</w:rPr>
        <w:t xml:space="preserve">estimular a atuação docente integrada, com planejamento coletivo e registro das práticas;</w:t>
      </w:r>
      <w:r/>
    </w:p>
    <w:p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</w:rPr>
        <w:t xml:space="preserve">utilizar recursos já disponíveis, como salas de aula, AVA, laboratórios de informática, planilhas, formulários, biblioteca digital e apresentações;</w:t>
      </w:r>
      <w:r/>
    </w:p>
    <w:p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</w:rPr>
        <w:t xml:space="preserve">gerar evidências acadêmicas objetivas para subsidiar processos de avaliação institucional e externa.</w:t>
      </w:r>
      <w:r/>
    </w:p>
    <w:p>
      <w:pPr>
        <w:pStyle w:val="703"/>
        <w:pBdr/>
        <w:spacing w:after="120" w:before="240"/>
        <w:ind/>
        <w:jc w:val="left"/>
        <w:rPr/>
      </w:pPr>
      <w:r>
        <w:rPr>
          <w:rFonts w:ascii="Times New Roman" w:hAnsi="Times New Roman"/>
          <w:b/>
          <w:color w:val="000000"/>
          <w:sz w:val="24"/>
        </w:rPr>
        <w:t xml:space="preserve">4 PREMISSAS DO PLANO</w:t>
      </w:r>
      <w:r/>
    </w:p>
    <w:p w14:paraId="236B0724">
      <w:pPr>
        <w:pBdr/>
        <w:spacing/>
        <w:ind/>
        <w:rPr/>
      </w:pPr>
      <w:r>
        <w:rPr>
          <w:rFonts w:ascii="Times New Roman" w:hAnsi="Times New Roman"/>
          <w:b/>
          <w:color w:val="000000"/>
          <w:sz w:val="24"/>
        </w:rPr>
      </w:r>
      <w:r/>
      <w:r/>
    </w:p>
    <w:tbl>
      <w:tblPr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3135"/>
        <w:gridCol w:w="3135"/>
        <w:gridCol w:w="3135"/>
      </w:tblGrid>
      <w:tr>
        <w:trPr/>
        <w:tc>
          <w:tcPr>
            <w:shd w:val="clear" w:color="auto" w:fill="d9eaf7"/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Premissa</w:t>
            </w:r>
            <w:r/>
          </w:p>
        </w:tc>
        <w:tc>
          <w:tcPr>
            <w:shd w:val="clear" w:color="auto" w:fill="d9eaf7"/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Diretriz adotada</w:t>
            </w:r>
            <w:r/>
          </w:p>
        </w:tc>
        <w:tc>
          <w:tcPr>
            <w:shd w:val="clear" w:color="auto" w:fill="d9eaf7"/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Implicação prática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Não alteração do ementário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As ementas oficiais permanecem integralmente preservadas.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As melhorias incidem sobre metodologia, avaliação, integração e evidências.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A1 regimental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Prova escrita individual no valor de 5,0 pontos.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Mantém-se a verificação formal dos conhecimentos conceituais.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A2 com prática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Projeto ou trabalho no valor de 2,0 pontos e prova escrita no valor de 3,0 pontos.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 avaliação passa a contemplar aplicação prática sem ferir o regulamento.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Foco em evidências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Registros documentais e produtos acadêmicos.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Portfólios, relatórios, rubricas, planilhas e apresentações podem ser arquivados.</w:t>
            </w:r>
            <w:r/>
          </w:p>
        </w:tc>
      </w:tr>
    </w:tbl>
    <w:p>
      <w:pPr>
        <w:pStyle w:val="703"/>
        <w:pBdr/>
        <w:spacing w:after="120" w:before="240"/>
        <w:ind/>
        <w:jc w:val="left"/>
        <w:rPr/>
      </w:pPr>
      <w:r>
        <w:rPr>
          <w:rFonts w:ascii="Times New Roman" w:hAnsi="Times New Roman"/>
          <w:b/>
          <w:color w:val="000000"/>
          <w:sz w:val="24"/>
        </w:rPr>
        <w:t xml:space="preserve">5 DIAGNÓSTICO PEDAGÓGICO DO CURSO</w:t>
      </w:r>
      <w:r/>
    </w:p>
    <w:p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</w:rPr>
        <w:t xml:space="preserve">O ementário apresenta forte poten</w:t>
      </w:r>
      <w:r>
        <w:rPr>
          <w:rFonts w:ascii="Times New Roman" w:hAnsi="Times New Roman"/>
          <w:b w:val="0"/>
          <w:sz w:val="24"/>
        </w:rPr>
        <w:t xml:space="preserve">cial de articulação prática, pois contempla progressão formativa compatível com o ciclo de gestão empresarial. O primeiro semestre introduz ambiente, mercado, economia, tecnologia, sociedade e liderança. O segundo semestre aprofunda estrutura administrativ</w:t>
      </w:r>
      <w:r>
        <w:rPr>
          <w:rFonts w:ascii="Times New Roman" w:hAnsi="Times New Roman"/>
          <w:b w:val="0"/>
          <w:sz w:val="24"/>
        </w:rPr>
        <w:t xml:space="preserve">a, pessoas, custos, contabilidade, finanças, operações, suprimentos e marketing digital. O terceiro semestre fortalece projetos, direito e extensão. O quarto semestre consolida processos, empreendedorismo, inovação e sistemas gerenciais de apoio à decisão.</w:t>
      </w:r>
      <w:r/>
    </w:p>
    <w:p>
      <w:pPr>
        <w:pBdr/>
        <w:spacing w:after="0" w:line="360" w:lineRule="auto"/>
        <w:ind w:firstLine="709"/>
        <w:jc w:val="both"/>
        <w:rPr>
          <w:rFonts w:ascii="Times New Roman" w:hAnsi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/>
          <w:b w:val="0"/>
          <w:sz w:val="24"/>
        </w:rPr>
        <w:t xml:space="preserve">A principal oportunidade de melhoria não está na matriz curricular, mas na necessidade de trans</w:t>
      </w:r>
      <w:r>
        <w:rPr>
          <w:rFonts w:ascii="Times New Roman" w:hAnsi="Times New Roman"/>
          <w:b w:val="0"/>
          <w:sz w:val="24"/>
        </w:rPr>
        <w:t xml:space="preserve">formar as disciplinas em experiências progressivas de gestão. Para isso, propõe-se que cada semestre tenha um eixo de vivência empresarial, permitindo ao estudante construir entregas práticas conectadas às competências do tecnólogo em Processos Gerenciais.</w:t>
      </w:r>
      <w:r/>
    </w:p>
    <w:p w14:paraId="2891BC03"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  <w:highlight w:val="none"/>
        </w:rPr>
      </w:r>
      <w:r>
        <w:rPr>
          <w:rFonts w:ascii="Times New Roman" w:hAnsi="Times New Roman"/>
          <w:b w:val="0"/>
          <w:sz w:val="24"/>
          <w:highlight w:val="none"/>
        </w:rPr>
      </w:r>
      <w:r>
        <w:rPr>
          <w:rFonts w:ascii="Times New Roman" w:hAnsi="Times New Roman"/>
          <w:b w:val="0"/>
          <w:sz w:val="24"/>
          <w:highlight w:val="none"/>
        </w:rPr>
      </w:r>
    </w:p>
    <w:tbl>
      <w:tblPr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2351"/>
        <w:gridCol w:w="2351"/>
        <w:gridCol w:w="2351"/>
        <w:gridCol w:w="2351"/>
      </w:tblGrid>
      <w:tr>
        <w:trPr/>
        <w:tc>
          <w:tcPr>
            <w:shd w:val="clear" w:color="auto" w:fill="d9eaf7"/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Semestre</w:t>
            </w:r>
            <w:r/>
          </w:p>
        </w:tc>
        <w:tc>
          <w:tcPr>
            <w:shd w:val="clear" w:color="auto" w:fill="d9eaf7"/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Foco formativo</w:t>
            </w:r>
            <w:r/>
          </w:p>
        </w:tc>
        <w:tc>
          <w:tcPr>
            <w:shd w:val="clear" w:color="auto" w:fill="d9eaf7"/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Oportunidade de melhoria</w:t>
            </w:r>
            <w:r/>
          </w:p>
        </w:tc>
        <w:tc>
          <w:tcPr>
            <w:shd w:val="clear" w:color="auto" w:fill="d9eaf7"/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Produto evidenciável</w:t>
            </w:r>
            <w:r/>
          </w:p>
        </w:tc>
      </w:tr>
      <w:tr>
        <w:trPr/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1º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Compreensão do ambiente de negócios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Inserir diagnóstico empresarial e mercadológico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Relatório de diagnóstico e apresentação</w:t>
            </w:r>
            <w:r/>
          </w:p>
        </w:tc>
      </w:tr>
      <w:tr>
        <w:trPr/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2º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Estruturação administrativa e operacional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Integrar custos, finanças, RH, processos e marketing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Plano de gestão interna da empresa simulada</w:t>
            </w:r>
            <w:r/>
          </w:p>
        </w:tc>
      </w:tr>
      <w:tr>
        <w:trPr/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3º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Projetos, direito e intervenção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Aplicar projeto de melhoria ou expansão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Termo de abertura, cronograma e análise de viabilidade</w:t>
            </w:r>
            <w:r/>
          </w:p>
        </w:tc>
      </w:tr>
      <w:tr>
        <w:trPr/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4º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Estratégia, inovação e decisão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Consolidar consultoria empresarial final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Relatório de consultoria, dashboard e pitch final</w:t>
            </w:r>
            <w:r/>
          </w:p>
        </w:tc>
      </w:tr>
    </w:tbl>
    <w:p>
      <w:pPr>
        <w:pStyle w:val="703"/>
        <w:pBdr/>
        <w:spacing w:after="120" w:before="240"/>
        <w:ind/>
        <w:jc w:val="left"/>
        <w:rPr/>
      </w:pPr>
      <w:r>
        <w:rPr>
          <w:rFonts w:ascii="Times New Roman" w:hAnsi="Times New Roman"/>
          <w:b/>
          <w:color w:val="000000"/>
          <w:sz w:val="24"/>
        </w:rPr>
        <w:t xml:space="preserve">6 MODELO PEDAGÓGICO PROPOSTO</w:t>
      </w:r>
      <w:r/>
    </w:p>
    <w:p>
      <w:pPr>
        <w:pStyle w:val="704"/>
        <w:pBdr/>
        <w:spacing w:after="120" w:before="120"/>
        <w:ind/>
        <w:jc w:val="left"/>
        <w:rPr/>
      </w:pPr>
      <w:r>
        <w:rPr>
          <w:rFonts w:ascii="Times New Roman" w:hAnsi="Times New Roman"/>
          <w:b/>
          <w:color w:val="000000"/>
          <w:sz w:val="24"/>
        </w:rPr>
        <w:t xml:space="preserve">6.1 Eixo estruturante: Vivências Empresariais Integradas</w:t>
      </w:r>
      <w:r/>
    </w:p>
    <w:p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</w:rPr>
        <w:t xml:space="preserve">Propõe-se a adoção do eixo estruturante denominado Vivências Empresariais Integradas. </w:t>
      </w:r>
      <w:r>
        <w:rPr>
          <w:rFonts w:ascii="Times New Roman" w:hAnsi="Times New Roman"/>
          <w:b w:val="0"/>
          <w:sz w:val="24"/>
        </w:rPr>
        <w:t xml:space="preserve">Esse eixo não configura nova disciplina, não altera carga horária e não modifica o ementário. Trata-se de uma estratégia metodológica transversal, na qual cada disciplina incorpora atividades práticas conectadas a situações empresariais reais ou simuladas.</w:t>
      </w:r>
      <w:r/>
    </w:p>
    <w:p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</w:rPr>
        <w:t xml:space="preserve">As vivência</w:t>
      </w:r>
      <w:r>
        <w:rPr>
          <w:rFonts w:ascii="Times New Roman" w:hAnsi="Times New Roman"/>
          <w:b w:val="0"/>
          <w:sz w:val="24"/>
        </w:rPr>
        <w:t xml:space="preserve">s podem ser realizadas por meio de empresas fictícias criadas pelos estudantes, empresas reais observadas na comunidade, pequenos negócios familiares, estudos de caso fornecidos pelo professor ou situações-problema elaboradas a partir do contexto regional.</w:t>
      </w:r>
      <w:r/>
    </w:p>
    <w:p>
      <w:pPr>
        <w:pStyle w:val="704"/>
        <w:pBdr/>
        <w:spacing w:after="120" w:before="120"/>
        <w:ind/>
        <w:jc w:val="left"/>
        <w:rPr/>
      </w:pPr>
      <w:r>
        <w:rPr>
          <w:rFonts w:ascii="Times New Roman" w:hAnsi="Times New Roman"/>
          <w:b/>
          <w:color w:val="000000"/>
          <w:sz w:val="24"/>
        </w:rPr>
        <w:t xml:space="preserve">6.2 Metodologias Ativas Prioritárias</w:t>
      </w:r>
      <w:r/>
    </w:p>
    <w:p w14:paraId="465523D2">
      <w:pPr>
        <w:pBdr/>
        <w:spacing/>
        <w:ind/>
        <w:rPr/>
      </w:pPr>
      <w:r>
        <w:rPr>
          <w:rFonts w:ascii="Times New Roman" w:hAnsi="Times New Roman"/>
          <w:b/>
          <w:color w:val="000000"/>
          <w:sz w:val="24"/>
        </w:rPr>
      </w:r>
      <w:r/>
      <w:r/>
    </w:p>
    <w:tbl>
      <w:tblPr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3135"/>
        <w:gridCol w:w="3135"/>
        <w:gridCol w:w="3135"/>
      </w:tblGrid>
      <w:tr>
        <w:trPr/>
        <w:tc>
          <w:tcPr>
            <w:shd w:val="clear" w:color="auto" w:fill="d9eaf7"/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Metodologia</w:t>
            </w:r>
            <w:r/>
          </w:p>
        </w:tc>
        <w:tc>
          <w:tcPr>
            <w:shd w:val="clear" w:color="auto" w:fill="d9eaf7"/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Aplicação no curso</w:t>
            </w:r>
            <w:r/>
          </w:p>
        </w:tc>
        <w:tc>
          <w:tcPr>
            <w:shd w:val="clear" w:color="auto" w:fill="d9eaf7"/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Exemplo de uso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Aprendizagem Baseada em Problemas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Apresentação de problema empresarial para análise e solução.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queda de vendas, excesso de custos, conflito de equipe, baixa produtividade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Aprendizagem Baseada em Projetos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Construção de produto acadêmico aplicado ao longo do semestre.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plano de marketing, fluxo de caixa, plano de projeto, dashboard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Estudo de caso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Discussão orientada de situações reais ou simuladas.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empresa local, e-commerce, logística, contrato, liderança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Sala de aula invertida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Estudo prévio do conteúdo e uso da aula para aplicação.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leitura dirigida, vídeo curto, fórum no AVA, exercício prático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Role play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Simulação de papéis gerenciais.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reunião de diretoria, negociação, entrevista, mediação de conflito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Portfólio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Registro progressivo das entregas do estudante.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relatórios, planilhas, apresentações e planos de ação</w:t>
            </w:r>
            <w:r/>
          </w:p>
        </w:tc>
      </w:tr>
    </w:tbl>
    <w:p>
      <w:pPr>
        <w:pStyle w:val="703"/>
        <w:pBdr/>
        <w:spacing w:after="120" w:before="240"/>
        <w:ind/>
        <w:jc w:val="left"/>
        <w:rPr/>
      </w:pPr>
      <w:r>
        <w:rPr>
          <w:rFonts w:ascii="Times New Roman" w:hAnsi="Times New Roman"/>
          <w:b/>
          <w:color w:val="000000"/>
          <w:sz w:val="24"/>
        </w:rPr>
        <w:t xml:space="preserve">7 ORGANIZAÇÃO DAS VIVÊNCIAS POR SEMESTRE</w:t>
      </w:r>
      <w:r/>
    </w:p>
    <w:p>
      <w:pPr>
        <w:pStyle w:val="704"/>
        <w:pBdr/>
        <w:spacing w:after="120" w:before="120"/>
        <w:ind/>
        <w:jc w:val="left"/>
        <w:rPr/>
      </w:pPr>
      <w:r>
        <w:rPr>
          <w:rFonts w:ascii="Times New Roman" w:hAnsi="Times New Roman"/>
          <w:b/>
          <w:color w:val="000000"/>
          <w:sz w:val="24"/>
        </w:rPr>
        <w:t xml:space="preserve">7.1 Primeiro semestre – Diagnóstico Do Ambiente Empresarial</w:t>
      </w:r>
      <w:r/>
      <w:r/>
    </w:p>
    <w:p w14:paraId="43F04B29">
      <w:pPr>
        <w:pBdr/>
        <w:spacing/>
        <w:ind/>
        <w:rPr/>
      </w:pPr>
      <w:r/>
      <w:r/>
    </w:p>
    <w:p>
      <w:pPr>
        <w:pBdr/>
        <w:spacing w:after="0" w:line="360" w:lineRule="auto"/>
        <w:ind w:firstLine="709"/>
        <w:jc w:val="both"/>
        <w:rPr>
          <w:rFonts w:ascii="Times New Roman" w:hAnsi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/>
          <w:b w:val="0"/>
          <w:sz w:val="24"/>
        </w:rPr>
        <w:t xml:space="preserve">O primeiro semestre deve introduzir o estudante à leitura do ambiente d</w:t>
      </w:r>
      <w:r>
        <w:rPr>
          <w:rFonts w:ascii="Times New Roman" w:hAnsi="Times New Roman"/>
          <w:b w:val="0"/>
          <w:sz w:val="24"/>
        </w:rPr>
        <w:t xml:space="preserve">e negócios, articulando responsabilidade social, mercado, sociedade, tecnologia, economia e liderança. A proposta é que os alunos realizem um diagnóstico empresarial básico, preferencialmente sobre um pequeno negócio real da região ou uma empresa simulada.</w:t>
      </w:r>
      <w:r/>
    </w:p>
    <w:p w14:paraId="47249585"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  <w:highlight w:val="none"/>
        </w:rPr>
      </w:r>
      <w:r>
        <w:rPr>
          <w:rFonts w:ascii="Times New Roman" w:hAnsi="Times New Roman"/>
          <w:b w:val="0"/>
          <w:sz w:val="24"/>
          <w:highlight w:val="none"/>
        </w:rPr>
      </w:r>
      <w:r>
        <w:rPr>
          <w:rFonts w:ascii="Times New Roman" w:hAnsi="Times New Roman"/>
          <w:b w:val="0"/>
          <w:sz w:val="24"/>
          <w:highlight w:val="none"/>
        </w:rPr>
      </w:r>
    </w:p>
    <w:tbl>
      <w:tblPr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3135"/>
        <w:gridCol w:w="3135"/>
        <w:gridCol w:w="3135"/>
      </w:tblGrid>
      <w:tr>
        <w:trPr/>
        <w:tc>
          <w:tcPr>
            <w:shd w:val="clear" w:color="auto" w:fill="d9eaf7"/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Disciplina</w:t>
            </w:r>
            <w:r/>
          </w:p>
        </w:tc>
        <w:tc>
          <w:tcPr>
            <w:shd w:val="clear" w:color="auto" w:fill="d9eaf7"/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Atividade prática sugerida</w:t>
            </w:r>
            <w:r/>
          </w:p>
        </w:tc>
        <w:tc>
          <w:tcPr>
            <w:shd w:val="clear" w:color="auto" w:fill="d9eaf7"/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Evidência documental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Gestão ambiental e responsabilidade social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Diagnóstico socioambiental simplificado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Mapa de impactos e oportunidades de melhoria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Ambiente mercadológico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Pesquisa de mercado e análise de concorrência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Relatório de mercado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Sociedade, identidades e territórios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Análise do território e perfil comunitário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Mapa de stakeholders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Libras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Simulação de atendimento inclusivo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Roteiro de atendimento acessível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Tecnologias da informação e comunicação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Formulário digital e organização de dados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Questionário e tabela de respostas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Princípios econômicos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Análise de variáveis econômicas que afetam o negócio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Resumo analítico de cenário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Liderança e gestão de conflitos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Simulação de reunião e negociação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Registro de decisão e mediação</w:t>
            </w:r>
            <w:r/>
          </w:p>
        </w:tc>
      </w:tr>
    </w:tbl>
    <w:p>
      <w:pPr>
        <w:pStyle w:val="704"/>
        <w:pBdr/>
        <w:spacing w:after="120" w:before="120"/>
        <w:ind/>
        <w:jc w:val="left"/>
        <w:rPr/>
      </w:pPr>
      <w:r>
        <w:rPr>
          <w:rFonts w:ascii="Times New Roman" w:hAnsi="Times New Roman"/>
          <w:b/>
          <w:color w:val="000000"/>
          <w:sz w:val="24"/>
        </w:rPr>
        <w:t xml:space="preserve">7.2 Segundo semestre – Estruturação Interna Da Organização</w:t>
      </w:r>
      <w:r/>
    </w:p>
    <w:p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</w:rPr>
        <w:t xml:space="preserve">O segundo semestre deve</w:t>
      </w:r>
      <w:r>
        <w:rPr>
          <w:rFonts w:ascii="Times New Roman" w:hAnsi="Times New Roman"/>
          <w:b w:val="0"/>
          <w:sz w:val="24"/>
        </w:rPr>
        <w:t xml:space="preserve"> permitir que o estudante compreenda a empresa por dentro, estruturando pessoas, custos, contabilidade, finanças, suprimentos, operações e marketing digital. A vivência proposta é a elaboração de um Plano de Gestão Interna da empresa simulada ou observada.</w:t>
      </w:r>
      <w:r/>
    </w:p>
    <w:tbl>
      <w:tblPr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3135"/>
        <w:gridCol w:w="3135"/>
        <w:gridCol w:w="3135"/>
      </w:tblGrid>
      <w:tr>
        <w:trPr/>
        <w:tc>
          <w:tcPr>
            <w:shd w:val="clear" w:color="auto" w:fill="d9eaf7"/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Disciplina</w:t>
            </w:r>
            <w:r/>
          </w:p>
        </w:tc>
        <w:tc>
          <w:tcPr>
            <w:shd w:val="clear" w:color="auto" w:fill="d9eaf7"/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Atividade prática sugerida</w:t>
            </w:r>
            <w:r/>
          </w:p>
        </w:tc>
        <w:tc>
          <w:tcPr>
            <w:shd w:val="clear" w:color="auto" w:fill="d9eaf7"/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Evidência documental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Administração de recursos humanos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Organograma, cargos e processo seletivo simulado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Plano básico de RH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Gestão de custos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Cálculo de custos, margem e ponto de equilíbrio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Planilha de formação de preço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Fundamentos de contabilidade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Plano de contas e demonstrativos simplificados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Relatório contábil básico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Teoria geral da administração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Análise de modelo de gestão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Quadro comparativo de práticas administrativas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Administração financeira e orçamentária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Fluxo de caixa e orçamento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Planilha orçamentária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Gestão da cadeia de suprimentos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Mapeamento de fornecedores e estoque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Fluxo de compras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Marketing e comércio eletrônico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Estratégia digital e jornada do cliente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Plano de ação digital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Gestão estratégica de operações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Mapeamento de processo e gargalos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Fluxograma e plano de melhoria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Itinerário extensionista I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Aplicação social ou comunitária supervisionada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Relatório extensionista</w:t>
            </w:r>
            <w:r/>
          </w:p>
        </w:tc>
      </w:tr>
    </w:tbl>
    <w:p w14:paraId="45988F82">
      <w:pPr>
        <w:pStyle w:val="704"/>
        <w:pBdr/>
        <w:spacing w:after="120" w:before="120"/>
        <w:ind/>
        <w:jc w:val="left"/>
        <w:rPr/>
      </w:pPr>
      <w:r>
        <w:rPr>
          <w:rFonts w:ascii="Times New Roman" w:hAnsi="Times New Roman"/>
          <w:b/>
          <w:color w:val="000000"/>
          <w:sz w:val="24"/>
          <w:highlight w:val="none"/>
        </w:rPr>
      </w:r>
      <w:r>
        <w:rPr>
          <w:rFonts w:ascii="Times New Roman" w:hAnsi="Times New Roman"/>
          <w:b/>
          <w:color w:val="000000"/>
          <w:sz w:val="24"/>
          <w:highlight w:val="none"/>
        </w:rPr>
      </w:r>
      <w:r>
        <w:rPr>
          <w:rFonts w:ascii="Times New Roman" w:hAnsi="Times New Roman"/>
          <w:b/>
          <w:color w:val="000000"/>
          <w:sz w:val="24"/>
          <w:highlight w:val="none"/>
        </w:rPr>
      </w:r>
    </w:p>
    <w:p>
      <w:pPr>
        <w:pStyle w:val="704"/>
        <w:pBdr/>
        <w:spacing w:after="120" w:before="120"/>
        <w:ind/>
        <w:jc w:val="left"/>
        <w:rPr>
          <w:rFonts w:ascii="Times New Roman" w:hAnsi="Times New Roman"/>
          <w:b/>
          <w:bCs/>
          <w:color w:val="000000"/>
          <w:sz w:val="24"/>
          <w:szCs w:val="24"/>
          <w:highlight w:val="none"/>
        </w:rPr>
      </w:pPr>
      <w:r>
        <w:rPr>
          <w:rFonts w:ascii="Times New Roman" w:hAnsi="Times New Roman"/>
          <w:b/>
          <w:color w:val="000000"/>
          <w:sz w:val="24"/>
        </w:rPr>
        <w:t xml:space="preserve">7.3 Terceiro semestre – Projeto De Melhoria Empresarial</w:t>
      </w:r>
      <w:r/>
    </w:p>
    <w:p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</w:rPr>
        <w:t xml:space="preserve">O terceiro semestre deve concentrar-se na capacidade de planejar e executar um projeto de melhoria. O estudante deve propor uma intervenção viável, considerando escopo, cronograma, custos, riscos, aspectos jurídicos e impacto organizacional.</w:t>
      </w:r>
      <w:r/>
    </w:p>
    <w:tbl>
      <w:tblPr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3135"/>
        <w:gridCol w:w="3135"/>
        <w:gridCol w:w="3135"/>
      </w:tblGrid>
      <w:tr>
        <w:trPr/>
        <w:tc>
          <w:tcPr>
            <w:shd w:val="clear" w:color="auto" w:fill="d9eaf7"/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Disciplina</w:t>
            </w:r>
            <w:r/>
          </w:p>
        </w:tc>
        <w:tc>
          <w:tcPr>
            <w:shd w:val="clear" w:color="auto" w:fill="d9eaf7"/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Atividade prática sugerida</w:t>
            </w:r>
            <w:r/>
          </w:p>
        </w:tc>
        <w:tc>
          <w:tcPr>
            <w:shd w:val="clear" w:color="auto" w:fill="d9eaf7"/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Evidência documental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Direito aplicado aos negócios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Análise de contrato, obrigações e riscos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Parecer jurídico simplificado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Gestão de projetos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Termo de abertura, cronograma e riscos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Plano de projeto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Optativa II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Atividade vinculada ao projeto integrador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Entrega definida pelo docente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Componentes extensionistas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Intervenção junto à comunidade ou negócio local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Relatório de aplicação</w:t>
            </w:r>
            <w:r/>
          </w:p>
        </w:tc>
      </w:tr>
    </w:tbl>
    <w:p>
      <w:pPr>
        <w:pStyle w:val="704"/>
        <w:pBdr/>
        <w:spacing w:after="120" w:before="120"/>
        <w:ind/>
        <w:jc w:val="left"/>
        <w:rPr/>
      </w:pPr>
      <w:r>
        <w:rPr>
          <w:rFonts w:ascii="Times New Roman" w:hAnsi="Times New Roman"/>
          <w:b/>
          <w:color w:val="000000"/>
          <w:sz w:val="24"/>
        </w:rPr>
        <w:t xml:space="preserve">7.4 Quarto semestre – Consultoria Gerencial E Tomada De Decisão</w:t>
      </w:r>
      <w:r/>
    </w:p>
    <w:p>
      <w:pPr>
        <w:pBdr/>
        <w:spacing w:after="0" w:line="360" w:lineRule="auto"/>
        <w:ind w:firstLine="709"/>
        <w:jc w:val="both"/>
        <w:rPr>
          <w:rFonts w:ascii="Times New Roman" w:hAnsi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/>
          <w:b w:val="0"/>
          <w:sz w:val="24"/>
        </w:rPr>
        <w:t xml:space="preserve">O quarto semestre deve consolidar a formação por meio de uma consultoria gerencial final. Os estudantes devem analisar uma organização ou caso simulado, propor melhorias, construir indicadores e apresentar recomendações para tomada de decisão.</w:t>
      </w:r>
      <w:r/>
    </w:p>
    <w:p w14:paraId="203F3C45"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  <w:highlight w:val="none"/>
        </w:rPr>
      </w:r>
      <w:r>
        <w:rPr>
          <w:rFonts w:ascii="Times New Roman" w:hAnsi="Times New Roman"/>
          <w:b w:val="0"/>
          <w:sz w:val="24"/>
          <w:highlight w:val="none"/>
        </w:rPr>
      </w:r>
      <w:r>
        <w:rPr>
          <w:rFonts w:ascii="Times New Roman" w:hAnsi="Times New Roman"/>
          <w:b w:val="0"/>
          <w:sz w:val="24"/>
          <w:highlight w:val="none"/>
        </w:rPr>
      </w:r>
    </w:p>
    <w:tbl>
      <w:tblPr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3135"/>
        <w:gridCol w:w="3135"/>
        <w:gridCol w:w="3135"/>
      </w:tblGrid>
      <w:tr>
        <w:trPr/>
        <w:tc>
          <w:tcPr>
            <w:shd w:val="clear" w:color="auto" w:fill="d9eaf7"/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Disciplina</w:t>
            </w:r>
            <w:r/>
          </w:p>
        </w:tc>
        <w:tc>
          <w:tcPr>
            <w:shd w:val="clear" w:color="auto" w:fill="d9eaf7"/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Atividade prática sugerida</w:t>
            </w:r>
            <w:r/>
          </w:p>
        </w:tc>
        <w:tc>
          <w:tcPr>
            <w:shd w:val="clear" w:color="auto" w:fill="d9eaf7"/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Evidência documental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Tópicos em processos gerenciais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Integração de planejamento, organização, direção e controle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Relatório gerencial integrado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Empreendedorismo e inovação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Modelo de negócio e plano de inovação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Canvas e plano de negócio sintético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Itinerário extensionista II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Projeto de impacto regional ou comunitário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Relatório de impacto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Sistemas gerenciais de apoio à decisão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Dashboard e análise de indicadores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Painel gerencial em planilha ou BI disponível</w:t>
            </w:r>
            <w:r/>
          </w:p>
        </w:tc>
      </w:tr>
    </w:tbl>
    <w:p>
      <w:pPr>
        <w:pStyle w:val="703"/>
        <w:pBdr/>
        <w:spacing w:after="120" w:before="240"/>
        <w:ind/>
        <w:jc w:val="left"/>
        <w:rPr/>
      </w:pPr>
      <w:r>
        <w:rPr>
          <w:rFonts w:ascii="Times New Roman" w:hAnsi="Times New Roman"/>
          <w:b/>
          <w:color w:val="000000"/>
          <w:sz w:val="24"/>
        </w:rPr>
        <w:t xml:space="preserve">8 SISTEMA DE AVALIAÇÃO E RUBRICAS</w:t>
      </w:r>
      <w:r/>
    </w:p>
    <w:p>
      <w:pPr>
        <w:pBdr/>
        <w:spacing w:after="0" w:line="360" w:lineRule="auto"/>
        <w:ind w:firstLine="709"/>
        <w:jc w:val="both"/>
        <w:rPr>
          <w:rFonts w:ascii="Times New Roman" w:hAnsi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/>
          <w:b w:val="0"/>
          <w:sz w:val="24"/>
        </w:rPr>
        <w:t xml:space="preserve">O sistema de avaliação permanece integralmente aderente ao modelo </w:t>
      </w:r>
      <w:r>
        <w:rPr>
          <w:rFonts w:ascii="Times New Roman" w:hAnsi="Times New Roman"/>
          <w:b w:val="0"/>
          <w:sz w:val="24"/>
        </w:rPr>
        <w:t xml:space="preserve">regimental. A avaliação A1 será constituída por prova escrita individual, com valor de 5,0 pontos. A avaliação A2 será composta por projeto ou trabalho prático, com valor de 2,0 pontos, e prova escrita, com valor de 3,0 pontos. A soma totaliza 10,0 pontos.</w:t>
      </w:r>
      <w:r/>
    </w:p>
    <w:p w14:paraId="099EDDD8"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  <w:highlight w:val="none"/>
        </w:rPr>
      </w:r>
      <w:r>
        <w:rPr>
          <w:rFonts w:ascii="Times New Roman" w:hAnsi="Times New Roman"/>
          <w:b w:val="0"/>
          <w:sz w:val="24"/>
          <w:highlight w:val="none"/>
        </w:rPr>
      </w:r>
      <w:r>
        <w:rPr>
          <w:rFonts w:ascii="Times New Roman" w:hAnsi="Times New Roman"/>
          <w:b w:val="0"/>
          <w:sz w:val="24"/>
          <w:highlight w:val="none"/>
        </w:rPr>
      </w:r>
    </w:p>
    <w:tbl>
      <w:tblPr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2351"/>
        <w:gridCol w:w="2351"/>
        <w:gridCol w:w="2351"/>
        <w:gridCol w:w="2351"/>
      </w:tblGrid>
      <w:tr>
        <w:trPr/>
        <w:tc>
          <w:tcPr>
            <w:shd w:val="clear" w:color="auto" w:fill="d9eaf7"/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Avaliação</w:t>
            </w:r>
            <w:r/>
          </w:p>
        </w:tc>
        <w:tc>
          <w:tcPr>
            <w:shd w:val="clear" w:color="auto" w:fill="d9eaf7"/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Instrumento</w:t>
            </w:r>
            <w:r/>
          </w:p>
        </w:tc>
        <w:tc>
          <w:tcPr>
            <w:shd w:val="clear" w:color="auto" w:fill="d9eaf7"/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Valor</w:t>
            </w:r>
            <w:r/>
          </w:p>
        </w:tc>
        <w:tc>
          <w:tcPr>
            <w:shd w:val="clear" w:color="auto" w:fill="d9eaf7"/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Finalidade</w:t>
            </w:r>
            <w:r/>
          </w:p>
        </w:tc>
      </w:tr>
      <w:tr>
        <w:trPr/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A1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Prova escrita individual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5,0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Verificar domínio conceitual, interpretação e análise individual</w:t>
            </w:r>
            <w:r/>
          </w:p>
        </w:tc>
      </w:tr>
      <w:tr>
        <w:trPr/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A2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Projeto ou trabalho prático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2,0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Avaliar aplicação dos conteúdos em situação empresarial</w:t>
            </w:r>
            <w:r/>
          </w:p>
        </w:tc>
      </w:tr>
      <w:tr>
        <w:trPr/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A2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Prova escrita individual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3,0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Consolidar conhecimentos e aferir aprendizagem individual</w:t>
            </w:r>
            <w:r/>
          </w:p>
        </w:tc>
      </w:tr>
    </w:tbl>
    <w:p>
      <w:pPr>
        <w:pStyle w:val="704"/>
        <w:pBdr/>
        <w:spacing w:after="120" w:before="120"/>
        <w:ind/>
        <w:jc w:val="left"/>
        <w:rPr/>
      </w:pPr>
      <w:r>
        <w:rPr>
          <w:rFonts w:ascii="Times New Roman" w:hAnsi="Times New Roman"/>
          <w:b/>
          <w:color w:val="000000"/>
          <w:sz w:val="24"/>
        </w:rPr>
        <w:t xml:space="preserve">8.1 Rubrica sugerida para o projeto ou trabalho da A2</w:t>
      </w:r>
      <w:r/>
    </w:p>
    <w:tbl>
      <w:tblPr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2351"/>
        <w:gridCol w:w="2351"/>
        <w:gridCol w:w="2351"/>
        <w:gridCol w:w="2351"/>
      </w:tblGrid>
      <w:tr>
        <w:trPr/>
        <w:tc>
          <w:tcPr>
            <w:shd w:val="clear" w:color="auto" w:fill="d9eaf7"/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Critério</w:t>
            </w:r>
            <w:r/>
          </w:p>
        </w:tc>
        <w:tc>
          <w:tcPr>
            <w:shd w:val="clear" w:color="auto" w:fill="d9eaf7"/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Descrição</w:t>
            </w:r>
            <w:r/>
          </w:p>
        </w:tc>
        <w:tc>
          <w:tcPr>
            <w:shd w:val="clear" w:color="auto" w:fill="d9eaf7"/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Pontuação</w:t>
            </w:r>
            <w:r/>
          </w:p>
        </w:tc>
        <w:tc>
          <w:tcPr>
            <w:shd w:val="clear" w:color="auto" w:fill="d9eaf7"/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Evidência</w:t>
            </w:r>
            <w:r/>
          </w:p>
        </w:tc>
      </w:tr>
      <w:tr>
        <w:trPr/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Aplicação do conteúdo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Utiliza conceitos da disciplina para resolver problema prático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0,50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Relatório, planilha ou estudo de caso</w:t>
            </w:r>
            <w:r/>
          </w:p>
        </w:tc>
      </w:tr>
      <w:tr>
        <w:trPr/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Análise crítica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Interpreta dados, identifica causas e propõe solução coerente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0,40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Justificativa técnica</w:t>
            </w:r>
            <w:r/>
          </w:p>
        </w:tc>
      </w:tr>
      <w:tr>
        <w:trPr/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Qualidade técnica da entrega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Apresenta organização, clareza, coerência e fundamentação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0,40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Documento final</w:t>
            </w:r>
            <w:r/>
          </w:p>
        </w:tc>
      </w:tr>
      <w:tr>
        <w:trPr/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Viabilidade da proposta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Indica ação possível com recursos disponíveis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0,30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Plano de ação ou simulação</w:t>
            </w:r>
            <w:r/>
          </w:p>
        </w:tc>
      </w:tr>
      <w:tr>
        <w:trPr/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Comunicação e apresentação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Demonstra postura, clareza e objetividade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0,20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Apresentação oral ou registro no AVA</w:t>
            </w:r>
            <w:r/>
          </w:p>
        </w:tc>
      </w:tr>
      <w:tr>
        <w:trPr/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Total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2,00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</w:r>
            <w:r/>
          </w:p>
        </w:tc>
      </w:tr>
    </w:tbl>
    <w:p>
      <w:pPr>
        <w:pStyle w:val="703"/>
        <w:pBdr/>
        <w:spacing w:after="120" w:before="240"/>
        <w:ind/>
        <w:jc w:val="left"/>
        <w:rPr/>
      </w:pPr>
      <w:r>
        <w:rPr>
          <w:rFonts w:ascii="Times New Roman" w:hAnsi="Times New Roman"/>
          <w:b/>
          <w:color w:val="000000"/>
          <w:sz w:val="24"/>
        </w:rPr>
        <w:t xml:space="preserve">9 RECURSOS DISPONÍVEIS E ESTRATÉGIAS DE USO</w:t>
      </w:r>
      <w:r/>
    </w:p>
    <w:p>
      <w:pPr>
        <w:pBdr/>
        <w:spacing w:after="0" w:line="360" w:lineRule="auto"/>
        <w:ind w:firstLine="709"/>
        <w:jc w:val="both"/>
        <w:rPr>
          <w:rFonts w:ascii="Times New Roman" w:hAnsi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/>
          <w:b w:val="0"/>
          <w:sz w:val="24"/>
        </w:rPr>
        <w:t xml:space="preserve">A proposta foi concebida para ser executada com os recursos já existentes, evitando dependência de investimentos adicionais. A melhoria está centrada na gestão pedagógica dos recursos e na produção sistemática de evidências.</w:t>
      </w:r>
      <w:r/>
    </w:p>
    <w:p w14:paraId="5A060EE7"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  <w:highlight w:val="none"/>
        </w:rPr>
      </w:r>
      <w:r>
        <w:rPr>
          <w:rFonts w:ascii="Times New Roman" w:hAnsi="Times New Roman"/>
          <w:b w:val="0"/>
          <w:sz w:val="24"/>
          <w:highlight w:val="none"/>
        </w:rPr>
      </w:r>
      <w:r>
        <w:rPr>
          <w:rFonts w:ascii="Times New Roman" w:hAnsi="Times New Roman"/>
          <w:b w:val="0"/>
          <w:sz w:val="24"/>
          <w:highlight w:val="none"/>
        </w:rPr>
      </w:r>
    </w:p>
    <w:tbl>
      <w:tblPr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2351"/>
        <w:gridCol w:w="2351"/>
        <w:gridCol w:w="2351"/>
        <w:gridCol w:w="2351"/>
      </w:tblGrid>
      <w:tr>
        <w:trPr/>
        <w:tc>
          <w:tcPr>
            <w:shd w:val="clear" w:color="auto" w:fill="d9eaf7"/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Recurso disponível</w:t>
            </w:r>
            <w:r/>
          </w:p>
        </w:tc>
        <w:tc>
          <w:tcPr>
            <w:shd w:val="clear" w:color="auto" w:fill="d9eaf7"/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Uso pedagógico</w:t>
            </w:r>
            <w:r/>
          </w:p>
        </w:tc>
        <w:tc>
          <w:tcPr>
            <w:shd w:val="clear" w:color="auto" w:fill="d9eaf7"/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Produto gerado</w:t>
            </w:r>
            <w:r/>
          </w:p>
        </w:tc>
        <w:tc>
          <w:tcPr>
            <w:shd w:val="clear" w:color="auto" w:fill="d9eaf7"/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Custo adicional</w:t>
            </w:r>
            <w:r/>
          </w:p>
        </w:tc>
      </w:tr>
      <w:tr>
        <w:trPr/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Sala de aula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Simulações, debates, reuniões gerenciais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Atas, registros e apresentações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Não</w:t>
            </w:r>
            <w:r/>
          </w:p>
        </w:tc>
      </w:tr>
      <w:tr>
        <w:trPr/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AVA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Postagem de materiais, fóruns, atividades e portfólios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Trilhas e evidências digitais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Não</w:t>
            </w:r>
            <w:r/>
          </w:p>
        </w:tc>
      </w:tr>
      <w:tr>
        <w:trPr/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Laboratório de informática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Planilhas, dashboards, pesquisas e relatórios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Arquivos digitais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Não</w:t>
            </w:r>
            <w:r/>
          </w:p>
        </w:tc>
      </w:tr>
      <w:tr>
        <w:trPr/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Biblioteca virtual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Fundamentação teórica e estudos dirigidos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Referências e fichamentos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Não</w:t>
            </w:r>
            <w:r/>
          </w:p>
        </w:tc>
      </w:tr>
      <w:tr>
        <w:trPr/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Excel ou similar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Custos, orçamento, fluxo de caixa e indicadores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Planilhas gerenciais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Não</w:t>
            </w:r>
            <w:r/>
          </w:p>
        </w:tc>
      </w:tr>
      <w:tr>
        <w:trPr/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Forms ou similar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Pesquisa de mercado e feedback discente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Base de dados e gráficos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Não</w:t>
            </w:r>
            <w:r/>
          </w:p>
        </w:tc>
      </w:tr>
      <w:tr>
        <w:trPr/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PowerPoint ou similar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Pitch, banca e seminários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Apresentações executivas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Não</w:t>
            </w:r>
            <w:r/>
          </w:p>
        </w:tc>
      </w:tr>
    </w:tbl>
    <w:p w14:paraId="4569E52D">
      <w:pPr>
        <w:pStyle w:val="703"/>
        <w:pBdr/>
        <w:spacing w:after="120" w:before="240"/>
        <w:ind/>
        <w:jc w:val="left"/>
        <w:rPr/>
      </w:pPr>
      <w:r>
        <w:rPr>
          <w:rFonts w:ascii="Times New Roman" w:hAnsi="Times New Roman"/>
          <w:b/>
          <w:color w:val="000000"/>
          <w:sz w:val="24"/>
          <w:highlight w:val="none"/>
        </w:rPr>
      </w:r>
      <w:r>
        <w:rPr>
          <w:rFonts w:ascii="Times New Roman" w:hAnsi="Times New Roman"/>
          <w:b/>
          <w:color w:val="000000"/>
          <w:sz w:val="24"/>
          <w:highlight w:val="none"/>
        </w:rPr>
      </w:r>
      <w:r>
        <w:rPr>
          <w:rFonts w:ascii="Times New Roman" w:hAnsi="Times New Roman"/>
          <w:b/>
          <w:color w:val="000000"/>
          <w:sz w:val="24"/>
          <w:highlight w:val="none"/>
        </w:rPr>
      </w:r>
    </w:p>
    <w:p>
      <w:pPr>
        <w:pStyle w:val="703"/>
        <w:pBdr/>
        <w:spacing w:after="120" w:before="240"/>
        <w:ind/>
        <w:jc w:val="left"/>
        <w:rPr>
          <w:rFonts w:ascii="Times New Roman" w:hAnsi="Times New Roman"/>
          <w:b/>
          <w:bCs/>
          <w:color w:val="000000"/>
          <w:sz w:val="24"/>
          <w:szCs w:val="24"/>
          <w:highlight w:val="none"/>
        </w:rPr>
      </w:pPr>
      <w:r>
        <w:rPr>
          <w:rFonts w:ascii="Times New Roman" w:hAnsi="Times New Roman"/>
          <w:b/>
          <w:color w:val="000000"/>
          <w:sz w:val="24"/>
        </w:rPr>
        <w:t xml:space="preserve">10 INDICADORES DE QUALIDADE E MONITORAMENTO</w:t>
      </w:r>
      <w:r/>
    </w:p>
    <w:p>
      <w:pPr>
        <w:pBdr/>
        <w:spacing w:after="0" w:line="360" w:lineRule="auto"/>
        <w:ind w:firstLine="709"/>
        <w:jc w:val="both"/>
        <w:rPr>
          <w:highlight w:val="none"/>
        </w:rPr>
      </w:pPr>
      <w:r>
        <w:rPr>
          <w:rFonts w:ascii="Times New Roman" w:hAnsi="Times New Roman"/>
          <w:b w:val="0"/>
          <w:sz w:val="24"/>
        </w:rPr>
        <w:t xml:space="preserve">Para </w:t>
      </w:r>
      <w:r>
        <w:rPr>
          <w:rFonts w:ascii="Times New Roman" w:hAnsi="Times New Roman"/>
          <w:b w:val="0"/>
          <w:sz w:val="24"/>
        </w:rPr>
        <w:t xml:space="preserve">assegurar melhoria contínua, recomenda-se o acompanhamento de indicadores simples, de fácil coleta e diretamente relacionados à qualidade da experiência acadêmica. Esses indicadores podem ser analisados semestralmente pela coordenação e pelo corpo docente.</w:t>
      </w:r>
      <w:r/>
      <w:r/>
    </w:p>
    <w:p w14:paraId="5B416788">
      <w:pPr>
        <w:pBdr/>
        <w:spacing w:after="0" w:line="360" w:lineRule="auto"/>
        <w:ind w:firstLine="709"/>
        <w:jc w:val="both"/>
        <w:rPr/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1881"/>
        <w:gridCol w:w="1881"/>
        <w:gridCol w:w="1881"/>
        <w:gridCol w:w="1881"/>
        <w:gridCol w:w="1881"/>
      </w:tblGrid>
      <w:tr>
        <w:trPr/>
        <w:tc>
          <w:tcPr>
            <w:shd w:val="clear" w:color="auto" w:fill="d9eaf7"/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Indicador</w:t>
            </w:r>
            <w:r/>
          </w:p>
        </w:tc>
        <w:tc>
          <w:tcPr>
            <w:shd w:val="clear" w:color="auto" w:fill="d9eaf7"/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Forma de coleta</w:t>
            </w:r>
            <w:r/>
          </w:p>
        </w:tc>
        <w:tc>
          <w:tcPr>
            <w:shd w:val="clear" w:color="auto" w:fill="d9eaf7"/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Periodicidade</w:t>
            </w:r>
            <w:r/>
          </w:p>
        </w:tc>
        <w:tc>
          <w:tcPr>
            <w:shd w:val="clear" w:color="auto" w:fill="d9eaf7"/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Meta sugerida</w:t>
            </w:r>
            <w:r/>
          </w:p>
        </w:tc>
        <w:tc>
          <w:tcPr>
            <w:shd w:val="clear" w:color="auto" w:fill="d9eaf7"/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Uso gerencial</w:t>
            </w:r>
            <w:r/>
          </w:p>
        </w:tc>
      </w:tr>
      <w:tr>
        <w:trPr/>
        <w:tc>
          <w:tcPr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Disciplinas com atividade prática na A2</w:t>
            </w:r>
            <w:r/>
          </w:p>
        </w:tc>
        <w:tc>
          <w:tcPr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Plano de ensino e registros no AVA</w:t>
            </w:r>
            <w:r/>
          </w:p>
        </w:tc>
        <w:tc>
          <w:tcPr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Semestral</w:t>
            </w:r>
            <w:r/>
          </w:p>
        </w:tc>
        <w:tc>
          <w:tcPr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100%</w:t>
            </w:r>
            <w:r/>
          </w:p>
        </w:tc>
        <w:tc>
          <w:tcPr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Verificar aderência ao plano</w:t>
            </w:r>
            <w:r/>
          </w:p>
        </w:tc>
      </w:tr>
      <w:tr>
        <w:trPr/>
        <w:tc>
          <w:tcPr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Entrega de projetos ou trabalhos</w:t>
            </w:r>
            <w:r/>
          </w:p>
        </w:tc>
        <w:tc>
          <w:tcPr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Notas e arquivos entregues</w:t>
            </w:r>
            <w:r/>
          </w:p>
        </w:tc>
        <w:tc>
          <w:tcPr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Semestral</w:t>
            </w:r>
            <w:r/>
          </w:p>
        </w:tc>
        <w:tc>
          <w:tcPr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≥ 85% dos alunos</w:t>
            </w:r>
            <w:r/>
          </w:p>
        </w:tc>
        <w:tc>
          <w:tcPr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Identificar engajamento</w:t>
            </w:r>
            <w:r/>
          </w:p>
        </w:tc>
      </w:tr>
      <w:tr>
        <w:trPr/>
        <w:tc>
          <w:tcPr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Média da A1</w:t>
            </w:r>
            <w:r/>
          </w:p>
        </w:tc>
        <w:tc>
          <w:tcPr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Sistema acadêmico</w:t>
            </w:r>
            <w:r/>
          </w:p>
        </w:tc>
        <w:tc>
          <w:tcPr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Semestral</w:t>
            </w:r>
            <w:r/>
          </w:p>
        </w:tc>
        <w:tc>
          <w:tcPr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Acompanhar evolução</w:t>
            </w:r>
            <w:r/>
          </w:p>
        </w:tc>
        <w:tc>
          <w:tcPr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Analisar domínio conceitual</w:t>
            </w:r>
            <w:r/>
          </w:p>
        </w:tc>
      </w:tr>
      <w:tr>
        <w:trPr/>
        <w:tc>
          <w:tcPr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Média do projeto A2</w:t>
            </w:r>
            <w:r/>
          </w:p>
        </w:tc>
        <w:tc>
          <w:tcPr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Rubricas docentes</w:t>
            </w:r>
            <w:r/>
          </w:p>
        </w:tc>
        <w:tc>
          <w:tcPr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Semestral</w:t>
            </w:r>
            <w:r/>
          </w:p>
        </w:tc>
        <w:tc>
          <w:tcPr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≥ 1,4/2,0</w:t>
            </w:r>
            <w:r/>
          </w:p>
        </w:tc>
        <w:tc>
          <w:tcPr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Analisar aplicação prática</w:t>
            </w:r>
            <w:r/>
          </w:p>
        </w:tc>
      </w:tr>
      <w:tr>
        <w:trPr/>
        <w:tc>
          <w:tcPr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Participação em apresentações</w:t>
            </w:r>
            <w:r/>
          </w:p>
        </w:tc>
        <w:tc>
          <w:tcPr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Lista de presença e registros</w:t>
            </w:r>
            <w:r/>
          </w:p>
        </w:tc>
        <w:tc>
          <w:tcPr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Semestral</w:t>
            </w:r>
            <w:r/>
          </w:p>
        </w:tc>
        <w:tc>
          <w:tcPr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≥ 80%</w:t>
            </w:r>
            <w:r/>
          </w:p>
        </w:tc>
        <w:tc>
          <w:tcPr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Acompanhar protagonismo</w:t>
            </w:r>
            <w:r/>
          </w:p>
        </w:tc>
      </w:tr>
      <w:tr>
        <w:trPr/>
        <w:tc>
          <w:tcPr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Satisfação discente com práticas</w:t>
            </w:r>
            <w:r/>
          </w:p>
        </w:tc>
        <w:tc>
          <w:tcPr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Formulário eletrônico</w:t>
            </w:r>
            <w:r/>
          </w:p>
        </w:tc>
        <w:tc>
          <w:tcPr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Semestral</w:t>
            </w:r>
            <w:r/>
          </w:p>
        </w:tc>
        <w:tc>
          <w:tcPr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≥ 85%</w:t>
            </w:r>
            <w:r/>
          </w:p>
        </w:tc>
        <w:tc>
          <w:tcPr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Ajustar metodologias</w:t>
            </w:r>
            <w:r/>
          </w:p>
        </w:tc>
      </w:tr>
      <w:tr>
        <w:trPr/>
        <w:tc>
          <w:tcPr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Evidências arquivadas</w:t>
            </w:r>
            <w:r/>
          </w:p>
        </w:tc>
        <w:tc>
          <w:tcPr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Pasta digital do curso</w:t>
            </w:r>
            <w:r/>
          </w:p>
        </w:tc>
        <w:tc>
          <w:tcPr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Semestral</w:t>
            </w:r>
            <w:r/>
          </w:p>
        </w:tc>
        <w:tc>
          <w:tcPr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100% das turmas</w:t>
            </w:r>
            <w:r/>
          </w:p>
        </w:tc>
        <w:tc>
          <w:tcPr>
            <w:tcBorders/>
            <w:tcW w:w="188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Subsidiar avaliação MEC</w:t>
            </w:r>
            <w:r/>
          </w:p>
        </w:tc>
      </w:tr>
    </w:tbl>
    <w:p w14:paraId="52205C98">
      <w:pPr>
        <w:pStyle w:val="703"/>
        <w:pBdr/>
        <w:spacing w:after="120" w:before="240"/>
        <w:ind/>
        <w:jc w:val="left"/>
        <w:rPr/>
      </w:pPr>
      <w:r>
        <w:rPr>
          <w:rFonts w:ascii="Times New Roman" w:hAnsi="Times New Roman"/>
          <w:b/>
          <w:color w:val="000000"/>
          <w:sz w:val="24"/>
          <w:highlight w:val="none"/>
        </w:rPr>
      </w:r>
      <w:r>
        <w:rPr>
          <w:rFonts w:ascii="Times New Roman" w:hAnsi="Times New Roman"/>
          <w:b/>
          <w:color w:val="000000"/>
          <w:sz w:val="24"/>
          <w:highlight w:val="none"/>
        </w:rPr>
      </w:r>
      <w:r>
        <w:rPr>
          <w:rFonts w:ascii="Times New Roman" w:hAnsi="Times New Roman"/>
          <w:b/>
          <w:color w:val="000000"/>
          <w:sz w:val="24"/>
          <w:highlight w:val="none"/>
        </w:rPr>
      </w:r>
    </w:p>
    <w:p>
      <w:pPr>
        <w:pStyle w:val="703"/>
        <w:pBdr/>
        <w:spacing w:after="120" w:before="240"/>
        <w:ind/>
        <w:jc w:val="left"/>
        <w:rPr>
          <w:rFonts w:ascii="Times New Roman" w:hAnsi="Times New Roman"/>
          <w:b/>
          <w:bCs/>
          <w:color w:val="000000"/>
          <w:sz w:val="24"/>
          <w:szCs w:val="24"/>
          <w:highlight w:val="none"/>
        </w:rPr>
      </w:pPr>
      <w:r>
        <w:rPr>
          <w:rFonts w:ascii="Times New Roman" w:hAnsi="Times New Roman"/>
          <w:b/>
          <w:color w:val="000000"/>
          <w:sz w:val="24"/>
        </w:rPr>
        <w:t xml:space="preserve">11 CICLO PDCA DE MELHORIA CONTÍNUA</w:t>
      </w:r>
      <w:r/>
    </w:p>
    <w:p>
      <w:pPr>
        <w:pBdr/>
        <w:spacing w:after="0" w:line="360" w:lineRule="auto"/>
        <w:ind w:firstLine="709"/>
        <w:jc w:val="both"/>
        <w:rPr>
          <w:rFonts w:ascii="Times New Roman" w:hAnsi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/>
          <w:b w:val="0"/>
          <w:sz w:val="24"/>
        </w:rPr>
        <w:t xml:space="preserve">O plano será acompanhado por meio do ciclo PDCA, garantindo que as ações pedagógicas sejam planejadas, executadas, verificadas e ajustadas de modo contínuo.</w:t>
      </w:r>
      <w:r/>
    </w:p>
    <w:p w14:paraId="1CDDE865">
      <w:pPr>
        <w:pBdr/>
        <w:spacing w:after="0" w:line="360" w:lineRule="auto"/>
        <w:ind w:firstLine="709"/>
        <w:jc w:val="both"/>
        <w:rPr/>
      </w:pPr>
      <w:r/>
      <w:r/>
      <w:r/>
    </w:p>
    <w:p w14:paraId="7C12C3EA"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  <w:highlight w:val="none"/>
        </w:rPr>
      </w:r>
      <w:r>
        <w:rPr>
          <w:rFonts w:ascii="Times New Roman" w:hAnsi="Times New Roman"/>
          <w:b w:val="0"/>
          <w:sz w:val="24"/>
          <w:highlight w:val="none"/>
        </w:rPr>
      </w:r>
      <w:r>
        <w:rPr>
          <w:rFonts w:ascii="Times New Roman" w:hAnsi="Times New Roman"/>
          <w:b w:val="0"/>
          <w:sz w:val="24"/>
          <w:highlight w:val="none"/>
        </w:rPr>
      </w:r>
    </w:p>
    <w:tbl>
      <w:tblPr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2351"/>
        <w:gridCol w:w="2351"/>
        <w:gridCol w:w="2351"/>
        <w:gridCol w:w="2351"/>
      </w:tblGrid>
      <w:tr>
        <w:trPr/>
        <w:tc>
          <w:tcPr>
            <w:shd w:val="clear" w:color="auto" w:fill="d9eaf7"/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Etapa</w:t>
            </w:r>
            <w:r/>
          </w:p>
        </w:tc>
        <w:tc>
          <w:tcPr>
            <w:shd w:val="clear" w:color="auto" w:fill="d9eaf7"/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Ação da coordenação</w:t>
            </w:r>
            <w:r/>
          </w:p>
        </w:tc>
        <w:tc>
          <w:tcPr>
            <w:shd w:val="clear" w:color="auto" w:fill="d9eaf7"/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Ação docente</w:t>
            </w:r>
            <w:r/>
          </w:p>
        </w:tc>
        <w:tc>
          <w:tcPr>
            <w:shd w:val="clear" w:color="auto" w:fill="d9eaf7"/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Evidência</w:t>
            </w:r>
            <w:r/>
          </w:p>
        </w:tc>
      </w:tr>
      <w:tr>
        <w:trPr/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Planejar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Definir calendário, orientações e modelos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Prever atividade prática na A2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Plano de ensino e cronograma</w:t>
            </w:r>
            <w:r/>
          </w:p>
        </w:tc>
      </w:tr>
      <w:tr>
        <w:trPr/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Executar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Acompanhar aplicação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Realizar estudos de caso, projetos e provas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Registros no AVA e trabalhos</w:t>
            </w:r>
            <w:r/>
          </w:p>
        </w:tc>
      </w:tr>
      <w:tr>
        <w:trPr/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Verificar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Analisar notas, frequência e feedback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Aplicar rubricas e relatar resultados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Planilhas e relatórios</w:t>
            </w:r>
            <w:r/>
          </w:p>
        </w:tc>
      </w:tr>
      <w:tr>
        <w:trPr/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Agir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Promover ajustes e formação docente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Revisar práticas para o próximo ciclo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Ata de reunião e plano de ação</w:t>
            </w:r>
            <w:r/>
          </w:p>
        </w:tc>
      </w:tr>
    </w:tbl>
    <w:p w14:paraId="42DF8144">
      <w:pPr>
        <w:pStyle w:val="703"/>
        <w:pBdr/>
        <w:spacing w:after="120" w:before="240"/>
        <w:ind/>
        <w:jc w:val="left"/>
        <w:rPr/>
      </w:pPr>
      <w:r>
        <w:rPr>
          <w:rFonts w:ascii="Times New Roman" w:hAnsi="Times New Roman"/>
          <w:b/>
          <w:color w:val="000000"/>
          <w:sz w:val="24"/>
          <w:highlight w:val="none"/>
        </w:rPr>
      </w:r>
      <w:r>
        <w:rPr>
          <w:rFonts w:ascii="Times New Roman" w:hAnsi="Times New Roman"/>
          <w:b/>
          <w:color w:val="000000"/>
          <w:sz w:val="24"/>
          <w:highlight w:val="none"/>
        </w:rPr>
      </w:r>
      <w:r>
        <w:rPr>
          <w:rFonts w:ascii="Times New Roman" w:hAnsi="Times New Roman"/>
          <w:b/>
          <w:color w:val="000000"/>
          <w:sz w:val="24"/>
          <w:highlight w:val="none"/>
        </w:rPr>
      </w:r>
    </w:p>
    <w:p>
      <w:pPr>
        <w:pStyle w:val="703"/>
        <w:pBdr/>
        <w:spacing w:after="120" w:before="240"/>
        <w:ind/>
        <w:jc w:val="left"/>
        <w:rPr>
          <w:rFonts w:ascii="Times New Roman" w:hAnsi="Times New Roman"/>
          <w:b/>
          <w:bCs/>
          <w:color w:val="000000"/>
          <w:sz w:val="24"/>
          <w:szCs w:val="24"/>
          <w:highlight w:val="none"/>
        </w:rPr>
      </w:pPr>
      <w:r>
        <w:rPr>
          <w:rFonts w:ascii="Times New Roman" w:hAnsi="Times New Roman"/>
          <w:b/>
          <w:color w:val="000000"/>
          <w:sz w:val="24"/>
        </w:rPr>
        <w:t xml:space="preserve">12 PLANO DE AÇÃO 5W2H</w:t>
      </w:r>
      <w:r>
        <w:rPr>
          <w:rFonts w:ascii="Times New Roman" w:hAnsi="Times New Roman"/>
          <w:b/>
          <w:bCs/>
          <w:color w:val="000000"/>
          <w:sz w:val="24"/>
          <w:szCs w:val="24"/>
          <w:highlight w:val="none"/>
        </w:rPr>
      </w:r>
    </w:p>
    <w:p w14:paraId="12714098">
      <w:pPr>
        <w:pBdr/>
        <w:spacing/>
        <w:ind/>
        <w:rPr/>
      </w:pPr>
      <w:r>
        <w:rPr>
          <w:rFonts w:ascii="Times New Roman" w:hAnsi="Times New Roman"/>
          <w:b/>
          <w:color w:val="000000"/>
          <w:sz w:val="24"/>
        </w:rPr>
      </w:r>
      <w:r/>
      <w:r/>
    </w:p>
    <w:tbl>
      <w:tblPr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1344"/>
        <w:gridCol w:w="1344"/>
        <w:gridCol w:w="1344"/>
        <w:gridCol w:w="1344"/>
        <w:gridCol w:w="1344"/>
        <w:gridCol w:w="1344"/>
        <w:gridCol w:w="1344"/>
      </w:tblGrid>
      <w:tr>
        <w:trPr/>
        <w:tc>
          <w:tcPr>
            <w:shd w:val="clear" w:color="auto" w:fill="d9eaf7"/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O quê</w:t>
            </w:r>
            <w:r/>
          </w:p>
        </w:tc>
        <w:tc>
          <w:tcPr>
            <w:shd w:val="clear" w:color="auto" w:fill="d9eaf7"/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Por quê</w:t>
            </w:r>
            <w:r/>
          </w:p>
        </w:tc>
        <w:tc>
          <w:tcPr>
            <w:shd w:val="clear" w:color="auto" w:fill="d9eaf7"/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Onde</w:t>
            </w:r>
            <w:r/>
          </w:p>
        </w:tc>
        <w:tc>
          <w:tcPr>
            <w:shd w:val="clear" w:color="auto" w:fill="d9eaf7"/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Quando</w:t>
            </w:r>
            <w:r/>
          </w:p>
        </w:tc>
        <w:tc>
          <w:tcPr>
            <w:shd w:val="clear" w:color="auto" w:fill="d9eaf7"/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Quem</w:t>
            </w:r>
            <w:r/>
          </w:p>
        </w:tc>
        <w:tc>
          <w:tcPr>
            <w:shd w:val="clear" w:color="auto" w:fill="d9eaf7"/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Como</w:t>
            </w:r>
            <w:r/>
          </w:p>
        </w:tc>
        <w:tc>
          <w:tcPr>
            <w:shd w:val="clear" w:color="auto" w:fill="d9eaf7"/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Quanto</w:t>
            </w:r>
            <w:r/>
          </w:p>
        </w:tc>
      </w:tr>
      <w:tr>
        <w:trPr/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Padronizar A2 prática</w:t>
            </w:r>
            <w:r/>
          </w:p>
        </w:tc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Gerar evidência aplicada</w:t>
            </w:r>
            <w:r/>
          </w:p>
        </w:tc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Todas as disciplinas</w:t>
            </w:r>
            <w:r/>
          </w:p>
        </w:tc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Início do semestre</w:t>
            </w:r>
            <w:r/>
          </w:p>
        </w:tc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Docentes e coordenação</w:t>
            </w:r>
            <w:r/>
          </w:p>
        </w:tc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Modelo de trabalho/rubrica</w:t>
            </w:r>
            <w:r/>
          </w:p>
        </w:tc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Sem custo</w:t>
            </w:r>
            <w:r/>
          </w:p>
        </w:tc>
      </w:tr>
      <w:tr>
        <w:trPr/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Criar pasta digital de evidências</w:t>
            </w:r>
            <w:r/>
          </w:p>
        </w:tc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Apoiar avaliação MEC</w:t>
            </w:r>
            <w:r/>
          </w:p>
        </w:tc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OneDrive/SharePoint/AVA</w:t>
            </w:r>
            <w:r/>
          </w:p>
        </w:tc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Contínuo</w:t>
            </w:r>
            <w:r/>
          </w:p>
        </w:tc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Coordenação</w:t>
            </w:r>
            <w:r/>
          </w:p>
        </w:tc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Organização por semestre e disciplina</w:t>
            </w:r>
            <w:r/>
          </w:p>
        </w:tc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Sem custo</w:t>
            </w:r>
            <w:r/>
          </w:p>
        </w:tc>
      </w:tr>
      <w:tr>
        <w:trPr/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Implantar portfólio discente</w:t>
            </w:r>
            <w:r/>
          </w:p>
        </w:tc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Registrar aprendizagem</w:t>
            </w:r>
            <w:r/>
          </w:p>
        </w:tc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AVA</w:t>
            </w:r>
            <w:r/>
          </w:p>
        </w:tc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Semestral</w:t>
            </w:r>
            <w:r/>
          </w:p>
        </w:tc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Docentes e alunos</w:t>
            </w:r>
            <w:r/>
          </w:p>
        </w:tc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Entrega de relatórios e planilhas</w:t>
            </w:r>
            <w:r/>
          </w:p>
        </w:tc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Sem custo</w:t>
            </w:r>
            <w:r/>
          </w:p>
        </w:tc>
      </w:tr>
      <w:tr>
        <w:trPr/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Realizar banca interna</w:t>
            </w:r>
            <w:r/>
          </w:p>
        </w:tc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Fortalecer apresentação profissional</w:t>
            </w:r>
            <w:r/>
          </w:p>
        </w:tc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Sala de aula</w:t>
            </w:r>
            <w:r/>
          </w:p>
        </w:tc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Final do semestre</w:t>
            </w:r>
            <w:r/>
          </w:p>
        </w:tc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Docentes</w:t>
            </w:r>
            <w:r/>
          </w:p>
        </w:tc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Apresentação de projetos</w:t>
            </w:r>
            <w:r/>
          </w:p>
        </w:tc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Sem custo</w:t>
            </w:r>
            <w:r/>
          </w:p>
        </w:tc>
      </w:tr>
      <w:tr>
        <w:trPr/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Aplicar feedback discente</w:t>
            </w:r>
            <w:r/>
          </w:p>
        </w:tc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Ajustar práticas</w:t>
            </w:r>
            <w:r/>
          </w:p>
        </w:tc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Forms/AVA</w:t>
            </w:r>
            <w:r/>
          </w:p>
        </w:tc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Final do semestre</w:t>
            </w:r>
            <w:r/>
          </w:p>
        </w:tc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Coordenação</w:t>
            </w:r>
            <w:r/>
          </w:p>
        </w:tc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Questionário simples</w:t>
            </w:r>
            <w:r/>
          </w:p>
        </w:tc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Sem custo</w:t>
            </w:r>
            <w:r/>
          </w:p>
        </w:tc>
      </w:tr>
      <w:tr>
        <w:trPr/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Reunião de alinhamento docente</w:t>
            </w:r>
            <w:r/>
          </w:p>
        </w:tc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Integrar disciplinas</w:t>
            </w:r>
            <w:r/>
          </w:p>
        </w:tc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Campus ou online</w:t>
            </w:r>
            <w:r/>
          </w:p>
        </w:tc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Início e final do semestre</w:t>
            </w:r>
            <w:r/>
          </w:p>
        </w:tc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Coordenação</w:t>
            </w:r>
            <w:r/>
          </w:p>
        </w:tc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Ata e plano de ação</w:t>
            </w:r>
            <w:r/>
          </w:p>
        </w:tc>
        <w:tc>
          <w:tcPr>
            <w:tcBorders/>
            <w:tcW w:w="1344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Sem custo</w:t>
            </w:r>
            <w:r/>
          </w:p>
        </w:tc>
      </w:tr>
    </w:tbl>
    <w:p w14:paraId="748614F2">
      <w:pPr>
        <w:pStyle w:val="703"/>
        <w:pBdr/>
        <w:spacing w:after="120" w:before="240"/>
        <w:ind/>
        <w:jc w:val="left"/>
        <w:rPr/>
      </w:pPr>
      <w:r/>
      <w:r/>
      <w:r/>
    </w:p>
    <w:p w14:paraId="1E64EA06">
      <w:pPr>
        <w:pStyle w:val="703"/>
        <w:pBdr/>
        <w:spacing w:after="120" w:before="240"/>
        <w:ind/>
        <w:jc w:val="left"/>
        <w:rPr>
          <w:rFonts w:ascii="Times New Roman" w:hAnsi="Times New Roman"/>
          <w:b/>
          <w:bCs/>
          <w:color w:val="000000"/>
          <w:sz w:val="24"/>
          <w:szCs w:val="24"/>
          <w:highlight w:val="none"/>
        </w:rPr>
      </w:pPr>
      <w:r>
        <w:rPr>
          <w:rFonts w:ascii="Times New Roman" w:hAnsi="Times New Roman"/>
          <w:b/>
          <w:color w:val="000000"/>
          <w:sz w:val="24"/>
          <w:highlight w:val="none"/>
        </w:rPr>
      </w:r>
      <w:r>
        <w:rPr>
          <w:rFonts w:ascii="Times New Roman" w:hAnsi="Times New Roman"/>
          <w:b/>
          <w:color w:val="000000"/>
          <w:sz w:val="24"/>
          <w:highlight w:val="none"/>
        </w:rPr>
      </w:r>
      <w:r>
        <w:rPr>
          <w:rFonts w:ascii="Times New Roman" w:hAnsi="Times New Roman"/>
          <w:b/>
          <w:color w:val="000000"/>
          <w:sz w:val="24"/>
          <w:highlight w:val="none"/>
        </w:rPr>
      </w:r>
    </w:p>
    <w:p>
      <w:pPr>
        <w:pStyle w:val="703"/>
        <w:pBdr/>
        <w:spacing w:after="120" w:before="240"/>
        <w:ind/>
        <w:jc w:val="left"/>
        <w:rPr>
          <w:rFonts w:ascii="Times New Roman" w:hAnsi="Times New Roman"/>
          <w:b/>
          <w:bCs/>
          <w:color w:val="000000"/>
          <w:sz w:val="24"/>
          <w:szCs w:val="24"/>
          <w:highlight w:val="none"/>
        </w:rPr>
      </w:pPr>
      <w:r>
        <w:rPr>
          <w:rFonts w:ascii="Times New Roman" w:hAnsi="Times New Roman"/>
          <w:b/>
          <w:color w:val="000000"/>
          <w:sz w:val="24"/>
        </w:rPr>
        <w:t xml:space="preserve">13 GESTÃO DE EVIDÊNCIAS PARA O MEC</w:t>
      </w:r>
      <w:r>
        <w:rPr>
          <w:rFonts w:ascii="Times New Roman" w:hAnsi="Times New Roman"/>
          <w:b/>
          <w:bCs/>
          <w:color w:val="000000"/>
          <w:sz w:val="24"/>
          <w:szCs w:val="24"/>
          <w:highlight w:val="none"/>
        </w:rPr>
      </w:r>
    </w:p>
    <w:p w14:paraId="6434DC19">
      <w:pPr>
        <w:pBdr/>
        <w:spacing/>
        <w:ind/>
        <w:rPr/>
      </w:pPr>
      <w:r>
        <w:rPr>
          <w:rFonts w:ascii="Times New Roman" w:hAnsi="Times New Roman"/>
          <w:b/>
          <w:color w:val="000000"/>
          <w:sz w:val="24"/>
        </w:rPr>
      </w:r>
      <w:r/>
      <w:r/>
    </w:p>
    <w:p>
      <w:pPr>
        <w:pBdr/>
        <w:spacing w:after="0" w:line="360" w:lineRule="auto"/>
        <w:ind w:firstLine="709"/>
        <w:jc w:val="both"/>
        <w:rPr>
          <w:rFonts w:ascii="Times New Roman" w:hAnsi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/>
          <w:b w:val="0"/>
          <w:sz w:val="24"/>
        </w:rPr>
        <w:t xml:space="preserve">A comissão avaliadora valoriza coerência entre PPC, ementário, práticas pedagógicas, avaliação, infraestrutura e resultados. Assim, recomenda-se organizar um repositório digital com evidências por semestre, disciplina e turma.</w:t>
      </w:r>
      <w:r/>
    </w:p>
    <w:p w14:paraId="69FDBEEE"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  <w:highlight w:val="none"/>
        </w:rPr>
      </w:r>
      <w:r>
        <w:rPr>
          <w:rFonts w:ascii="Times New Roman" w:hAnsi="Times New Roman"/>
          <w:b w:val="0"/>
          <w:sz w:val="24"/>
          <w:highlight w:val="none"/>
        </w:rPr>
      </w:r>
      <w:r>
        <w:rPr>
          <w:rFonts w:ascii="Times New Roman" w:hAnsi="Times New Roman"/>
          <w:b w:val="0"/>
          <w:sz w:val="24"/>
          <w:highlight w:val="none"/>
        </w:rPr>
      </w:r>
    </w:p>
    <w:tbl>
      <w:tblPr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3135"/>
        <w:gridCol w:w="3135"/>
        <w:gridCol w:w="3135"/>
      </w:tblGrid>
      <w:tr>
        <w:trPr/>
        <w:tc>
          <w:tcPr>
            <w:shd w:val="clear" w:color="auto" w:fill="d9eaf7"/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Tipo de evidência</w:t>
            </w:r>
            <w:r/>
          </w:p>
        </w:tc>
        <w:tc>
          <w:tcPr>
            <w:shd w:val="clear" w:color="auto" w:fill="d9eaf7"/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Descrição</w:t>
            </w:r>
            <w:r/>
          </w:p>
        </w:tc>
        <w:tc>
          <w:tcPr>
            <w:shd w:val="clear" w:color="auto" w:fill="d9eaf7"/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Responsável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Planos de ensino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Registro da atividade prática da A2 e metodologia adotada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Docente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Rubricas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Critérios de avaliação dos projetos/trabalhos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Docente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Trabalhos selecionados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Exemplos de entregas discentes representativas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Docente e coordenação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Atas de reunião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Registro de alinhamento pedagógico e análise de resultados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Coordenação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Relatórios de indicadores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Notas, participação, satisfação e evidências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Coordenação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Registros de apresentação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Fotos, listas e apresentações, quando possível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Docente</w:t>
            </w:r>
            <w:r/>
          </w:p>
        </w:tc>
      </w:tr>
      <w:tr>
        <w:trPr/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Feedback discente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Formulário de percepção sobre práticas</w:t>
            </w:r>
            <w:r/>
          </w:p>
        </w:tc>
        <w:tc>
          <w:tcPr>
            <w:tcBorders/>
            <w:tcW w:w="3135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Coordenação</w:t>
            </w:r>
            <w:r/>
          </w:p>
        </w:tc>
      </w:tr>
    </w:tbl>
    <w:p w14:paraId="60AF0814">
      <w:pPr>
        <w:pStyle w:val="703"/>
        <w:pBdr/>
        <w:spacing w:after="120" w:before="240"/>
        <w:ind/>
        <w:jc w:val="left"/>
        <w:rPr/>
      </w:pPr>
      <w:r>
        <w:rPr>
          <w:rFonts w:ascii="Times New Roman" w:hAnsi="Times New Roman"/>
          <w:b/>
          <w:color w:val="000000"/>
          <w:sz w:val="24"/>
          <w:highlight w:val="none"/>
        </w:rPr>
      </w:r>
      <w:r>
        <w:rPr>
          <w:rFonts w:ascii="Times New Roman" w:hAnsi="Times New Roman"/>
          <w:b/>
          <w:color w:val="000000"/>
          <w:sz w:val="24"/>
          <w:highlight w:val="none"/>
        </w:rPr>
      </w:r>
      <w:r>
        <w:rPr>
          <w:rFonts w:ascii="Times New Roman" w:hAnsi="Times New Roman"/>
          <w:b/>
          <w:color w:val="000000"/>
          <w:sz w:val="24"/>
          <w:highlight w:val="none"/>
        </w:rPr>
      </w:r>
    </w:p>
    <w:p>
      <w:pPr>
        <w:pStyle w:val="703"/>
        <w:pBdr/>
        <w:spacing w:after="120" w:before="240"/>
        <w:ind/>
        <w:jc w:val="left"/>
        <w:rPr>
          <w:rFonts w:ascii="Times New Roman" w:hAnsi="Times New Roman"/>
          <w:b/>
          <w:bCs/>
          <w:color w:val="000000"/>
          <w:sz w:val="24"/>
          <w:szCs w:val="24"/>
          <w:highlight w:val="none"/>
        </w:rPr>
      </w:pPr>
      <w:r>
        <w:rPr>
          <w:rFonts w:ascii="Times New Roman" w:hAnsi="Times New Roman"/>
          <w:b/>
          <w:color w:val="000000"/>
          <w:sz w:val="24"/>
        </w:rPr>
        <w:t xml:space="preserve">14 ANÁLISE DE RISCOS E MEDIDAS MITIGADORAS</w:t>
      </w:r>
      <w:r/>
      <w:r>
        <w:rPr>
          <w:rFonts w:ascii="Times New Roman" w:hAnsi="Times New Roman"/>
          <w:b/>
          <w:bCs/>
          <w:color w:val="000000"/>
          <w:sz w:val="24"/>
          <w:szCs w:val="24"/>
          <w:highlight w:val="none"/>
        </w:rPr>
      </w:r>
    </w:p>
    <w:p w14:paraId="307C3A32">
      <w:pPr>
        <w:pBdr/>
        <w:spacing/>
        <w:ind/>
        <w:rPr/>
      </w:pPr>
      <w:r/>
      <w:r/>
    </w:p>
    <w:tbl>
      <w:tblPr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2351"/>
        <w:gridCol w:w="2351"/>
        <w:gridCol w:w="2351"/>
        <w:gridCol w:w="2351"/>
      </w:tblGrid>
      <w:tr>
        <w:trPr/>
        <w:tc>
          <w:tcPr>
            <w:shd w:val="clear" w:color="auto" w:fill="d9eaf7"/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Risco</w:t>
            </w:r>
            <w:r/>
          </w:p>
        </w:tc>
        <w:tc>
          <w:tcPr>
            <w:shd w:val="clear" w:color="auto" w:fill="d9eaf7"/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Impacto</w:t>
            </w:r>
            <w:r/>
          </w:p>
        </w:tc>
        <w:tc>
          <w:tcPr>
            <w:shd w:val="clear" w:color="auto" w:fill="d9eaf7"/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Medida mitigadora</w:t>
            </w:r>
            <w:r/>
          </w:p>
        </w:tc>
        <w:tc>
          <w:tcPr>
            <w:shd w:val="clear" w:color="auto" w:fill="d9eaf7"/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Responsável</w:t>
            </w:r>
            <w:r/>
          </w:p>
        </w:tc>
      </w:tr>
      <w:tr>
        <w:trPr/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Resistência docente ao modelo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Baixa padronização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Reunião de alinhamento e modelos simples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Coordenação</w:t>
            </w:r>
            <w:r/>
          </w:p>
        </w:tc>
      </w:tr>
      <w:tr>
        <w:trPr/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Trabalhos superficiais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Pouca evidência de aprendizagem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Rubrica objetiva e orientação por etapas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Docente</w:t>
            </w:r>
            <w:r/>
          </w:p>
        </w:tc>
      </w:tr>
      <w:tr>
        <w:trPr/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Desorganização documental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Fragilidade em avaliação externa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Pasta digital por semestre/disciplina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Coordenação</w:t>
            </w:r>
            <w:r/>
          </w:p>
        </w:tc>
      </w:tr>
      <w:tr>
        <w:trPr/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Baixa participação discente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Redução do impacto pedagógico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Projetos curtos, contextualizados e vinculados à nota A2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Docente</w:t>
            </w:r>
            <w:r/>
          </w:p>
        </w:tc>
      </w:tr>
      <w:tr>
        <w:trPr/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Excesso de carga para professor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Dificuldade operacional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Modelos replicáveis e uso de atividades em grupo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Coordenação e docente</w:t>
            </w:r>
            <w:r/>
          </w:p>
        </w:tc>
      </w:tr>
    </w:tbl>
    <w:p w14:paraId="232301DA">
      <w:pPr>
        <w:pStyle w:val="703"/>
        <w:pBdr/>
        <w:spacing w:after="120" w:before="240"/>
        <w:ind/>
        <w:jc w:val="left"/>
        <w:rPr/>
      </w:pPr>
      <w:r>
        <w:rPr>
          <w:rFonts w:ascii="Times New Roman" w:hAnsi="Times New Roman"/>
          <w:b/>
          <w:color w:val="000000"/>
          <w:sz w:val="24"/>
          <w:highlight w:val="none"/>
        </w:rPr>
      </w:r>
      <w:r>
        <w:rPr>
          <w:rFonts w:ascii="Times New Roman" w:hAnsi="Times New Roman"/>
          <w:b/>
          <w:color w:val="000000"/>
          <w:sz w:val="24"/>
          <w:highlight w:val="none"/>
        </w:rPr>
      </w:r>
      <w:r>
        <w:rPr>
          <w:rFonts w:ascii="Times New Roman" w:hAnsi="Times New Roman"/>
          <w:b/>
          <w:color w:val="000000"/>
          <w:sz w:val="24"/>
          <w:highlight w:val="none"/>
        </w:rPr>
      </w:r>
    </w:p>
    <w:p>
      <w:pPr>
        <w:pStyle w:val="703"/>
        <w:pBdr/>
        <w:spacing w:after="120" w:before="240"/>
        <w:ind/>
        <w:jc w:val="left"/>
        <w:rPr>
          <w:rFonts w:ascii="Times New Roman" w:hAnsi="Times New Roman"/>
          <w:b/>
          <w:bCs/>
          <w:color w:val="000000"/>
          <w:sz w:val="24"/>
          <w:szCs w:val="24"/>
          <w:highlight w:val="none"/>
        </w:rPr>
      </w:pPr>
      <w:r>
        <w:rPr>
          <w:rFonts w:ascii="Times New Roman" w:hAnsi="Times New Roman"/>
          <w:b/>
          <w:color w:val="000000"/>
          <w:sz w:val="24"/>
        </w:rPr>
        <w:t xml:space="preserve">15 CRONOGRAMA DE IMPLANTAÇÃO</w:t>
      </w:r>
      <w:r>
        <w:rPr>
          <w:rFonts w:ascii="Times New Roman" w:hAnsi="Times New Roman"/>
          <w:b/>
          <w:bCs/>
          <w:color w:val="000000"/>
          <w:sz w:val="24"/>
          <w:szCs w:val="24"/>
          <w:highlight w:val="none"/>
        </w:rPr>
      </w:r>
    </w:p>
    <w:p w14:paraId="69BB4FF5">
      <w:pPr>
        <w:pBdr/>
        <w:spacing/>
        <w:ind/>
        <w:rPr/>
      </w:pPr>
      <w:r>
        <w:rPr>
          <w:rFonts w:ascii="Times New Roman" w:hAnsi="Times New Roman"/>
          <w:b/>
          <w:color w:val="000000"/>
          <w:sz w:val="24"/>
        </w:rPr>
      </w:r>
      <w:r/>
      <w:r/>
    </w:p>
    <w:tbl>
      <w:tblPr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2351"/>
        <w:gridCol w:w="2351"/>
        <w:gridCol w:w="2351"/>
        <w:gridCol w:w="2351"/>
      </w:tblGrid>
      <w:tr>
        <w:trPr/>
        <w:tc>
          <w:tcPr>
            <w:shd w:val="clear" w:color="auto" w:fill="d9eaf7"/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Período</w:t>
            </w:r>
            <w:r/>
          </w:p>
        </w:tc>
        <w:tc>
          <w:tcPr>
            <w:shd w:val="clear" w:color="auto" w:fill="d9eaf7"/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Ação</w:t>
            </w:r>
            <w:r/>
          </w:p>
        </w:tc>
        <w:tc>
          <w:tcPr>
            <w:shd w:val="clear" w:color="auto" w:fill="d9eaf7"/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Produto</w:t>
            </w:r>
            <w:r/>
          </w:p>
        </w:tc>
        <w:tc>
          <w:tcPr>
            <w:shd w:val="clear" w:color="auto" w:fill="d9eaf7"/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/>
                <w:sz w:val="18"/>
              </w:rPr>
              <w:t xml:space="preserve">Responsável</w:t>
            </w:r>
            <w:r/>
          </w:p>
        </w:tc>
      </w:tr>
      <w:tr>
        <w:trPr/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Mês 1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Reunião de alinhamento docente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Ata e orientações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Coordenação</w:t>
            </w:r>
            <w:r/>
          </w:p>
        </w:tc>
      </w:tr>
      <w:tr>
        <w:trPr/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Mês 1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Definição das atividades práticas da A2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Plano de ensino ajustado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Docentes</w:t>
            </w:r>
            <w:r/>
          </w:p>
        </w:tc>
      </w:tr>
      <w:tr>
        <w:trPr/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Mês 2 a 4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Execução das vivências empresariais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Registros e entregas parciais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Docentes e alunos</w:t>
            </w:r>
            <w:r/>
          </w:p>
        </w:tc>
      </w:tr>
      <w:tr>
        <w:trPr/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Mês 4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Aplicação de feedback discente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Relatório de percepção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Coordenação</w:t>
            </w:r>
            <w:r/>
          </w:p>
        </w:tc>
      </w:tr>
      <w:tr>
        <w:trPr/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Mês 5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Apresentações ou bancas internas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Apresentações e rubricas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Docentes</w:t>
            </w:r>
            <w:r/>
          </w:p>
        </w:tc>
      </w:tr>
      <w:tr>
        <w:trPr/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Mês 5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Consolidação de evidências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Pasta digital organizada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Coordenação</w:t>
            </w:r>
            <w:r/>
          </w:p>
        </w:tc>
      </w:tr>
      <w:tr>
        <w:trPr/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Final do semestre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Análise dos resultados e ajustes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Plano de ação do ciclo seguinte</w:t>
            </w:r>
            <w:r/>
          </w:p>
        </w:tc>
        <w:tc>
          <w:tcPr>
            <w:tcBorders/>
            <w:tcW w:w="2351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/>
                <w:b w:val="0"/>
                <w:sz w:val="18"/>
              </w:rPr>
              <w:t xml:space="preserve">Coordenação e NDE/colegiado</w:t>
            </w:r>
            <w:r/>
          </w:p>
        </w:tc>
      </w:tr>
    </w:tbl>
    <w:p w14:paraId="10F2A9B4">
      <w:pPr>
        <w:pStyle w:val="703"/>
        <w:pBdr/>
        <w:spacing w:after="120" w:before="240"/>
        <w:ind/>
        <w:jc w:val="left"/>
        <w:rPr/>
      </w:pPr>
      <w:r>
        <w:rPr>
          <w:rFonts w:ascii="Times New Roman" w:hAnsi="Times New Roman"/>
          <w:b/>
          <w:color w:val="000000"/>
          <w:sz w:val="24"/>
          <w:highlight w:val="none"/>
        </w:rPr>
      </w:r>
      <w:r>
        <w:rPr>
          <w:rFonts w:ascii="Times New Roman" w:hAnsi="Times New Roman"/>
          <w:b/>
          <w:color w:val="000000"/>
          <w:sz w:val="24"/>
          <w:highlight w:val="none"/>
        </w:rPr>
      </w:r>
      <w:r>
        <w:rPr>
          <w:rFonts w:ascii="Times New Roman" w:hAnsi="Times New Roman"/>
          <w:b/>
          <w:color w:val="000000"/>
          <w:sz w:val="24"/>
          <w:highlight w:val="none"/>
        </w:rPr>
      </w:r>
    </w:p>
    <w:p>
      <w:pPr>
        <w:pStyle w:val="703"/>
        <w:pBdr/>
        <w:spacing w:after="120" w:before="240"/>
        <w:ind/>
        <w:jc w:val="left"/>
        <w:rPr>
          <w:rFonts w:ascii="Times New Roman" w:hAnsi="Times New Roman"/>
          <w:b/>
          <w:bCs/>
          <w:color w:val="000000"/>
          <w:sz w:val="24"/>
          <w:szCs w:val="24"/>
          <w:highlight w:val="none"/>
        </w:rPr>
      </w:pPr>
      <w:r>
        <w:rPr>
          <w:rFonts w:ascii="Times New Roman" w:hAnsi="Times New Roman"/>
          <w:b/>
          <w:color w:val="000000"/>
          <w:sz w:val="24"/>
        </w:rPr>
        <w:t xml:space="preserve">16 PAPEL DA COORDENAÇÃO, DOCENTES E DISCENTES</w:t>
      </w:r>
      <w:r/>
    </w:p>
    <w:p>
      <w:pPr>
        <w:pStyle w:val="704"/>
        <w:pBdr/>
        <w:spacing w:after="120" w:before="120"/>
        <w:ind/>
        <w:jc w:val="left"/>
        <w:rPr/>
      </w:pPr>
      <w:r>
        <w:rPr>
          <w:rFonts w:ascii="Times New Roman" w:hAnsi="Times New Roman"/>
          <w:b/>
          <w:color w:val="000000"/>
          <w:sz w:val="24"/>
        </w:rPr>
        <w:t xml:space="preserve">16.1 Coordenação do curso</w:t>
      </w:r>
      <w:r/>
    </w:p>
    <w:p w14:paraId="04B200FB">
      <w:pPr>
        <w:pBdr/>
        <w:spacing/>
        <w:ind/>
        <w:rPr/>
      </w:pPr>
      <w:r>
        <w:rPr>
          <w:rFonts w:ascii="Times New Roman" w:hAnsi="Times New Roman"/>
          <w:b/>
          <w:color w:val="000000"/>
          <w:sz w:val="24"/>
        </w:rPr>
      </w:r>
      <w:r/>
      <w:r/>
    </w:p>
    <w:p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</w:rPr>
        <w:t xml:space="preserve">Cabe à coordenação articular o planejamen</w:t>
      </w:r>
      <w:r>
        <w:rPr>
          <w:rFonts w:ascii="Times New Roman" w:hAnsi="Times New Roman"/>
          <w:b w:val="0"/>
          <w:sz w:val="24"/>
        </w:rPr>
        <w:t xml:space="preserve">to pedagógico, orientar docentes, acompanhar indicadores, organizar evidências, promover reuniões de alinhamento e assegurar que as práticas adotadas estejam coerentes com o ementário, o PPC, o modelo avaliativo e os padrões de qualidade exigidos pelo MEC.</w:t>
      </w:r>
      <w:r/>
    </w:p>
    <w:p>
      <w:pPr>
        <w:pStyle w:val="704"/>
        <w:pBdr/>
        <w:spacing w:after="120" w:before="120"/>
        <w:ind/>
        <w:jc w:val="left"/>
        <w:rPr/>
      </w:pPr>
      <w:r>
        <w:rPr>
          <w:rFonts w:ascii="Times New Roman" w:hAnsi="Times New Roman"/>
          <w:b/>
          <w:color w:val="000000"/>
          <w:sz w:val="24"/>
        </w:rPr>
        <w:t xml:space="preserve">16.2 Corpo docente</w:t>
      </w:r>
      <w:r/>
      <w:r/>
      <w:r/>
      <w:r/>
      <w:r/>
    </w:p>
    <w:p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</w:rPr>
        <w:t xml:space="preserve">Compete aos docentes plan</w:t>
      </w:r>
      <w:r>
        <w:rPr>
          <w:rFonts w:ascii="Times New Roman" w:hAnsi="Times New Roman"/>
          <w:b w:val="0"/>
          <w:sz w:val="24"/>
        </w:rPr>
        <w:t xml:space="preserve">ejar atividades práticas aderentes às ementas, aplicar rubricas, registrar evidências, orientar estudantes e articular teoria e prática de modo sistemático. A atividade prática da A2 deve ser objetiva, viável e compatível com a carga horária da disciplina.</w:t>
      </w:r>
      <w:r/>
    </w:p>
    <w:p>
      <w:pPr>
        <w:pStyle w:val="704"/>
        <w:pBdr/>
        <w:spacing w:after="120" w:before="120"/>
        <w:ind/>
        <w:jc w:val="left"/>
        <w:rPr/>
      </w:pPr>
      <w:r>
        <w:rPr>
          <w:rFonts w:ascii="Times New Roman" w:hAnsi="Times New Roman"/>
          <w:b/>
          <w:color w:val="000000"/>
          <w:sz w:val="24"/>
        </w:rPr>
        <w:t xml:space="preserve">16.3 Corpo discente</w:t>
      </w:r>
      <w:r/>
    </w:p>
    <w:p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</w:rPr>
        <w:t xml:space="preserve">Aos estudantes compete participar ativamente das vivências, cumprir prazos, desenvolver entregas com qualidade técnica, registrar seu portfólio acadêmico e demonstrar capacidade de análise, comunicação, colaboração e tomada de decisão.</w:t>
      </w:r>
      <w:r/>
    </w:p>
    <w:p>
      <w:pPr>
        <w:pStyle w:val="703"/>
        <w:pBdr/>
        <w:spacing w:after="120" w:before="240"/>
        <w:ind/>
        <w:jc w:val="left"/>
        <w:rPr/>
      </w:pPr>
      <w:r>
        <w:rPr>
          <w:rFonts w:ascii="Times New Roman" w:hAnsi="Times New Roman"/>
          <w:b/>
          <w:color w:val="000000"/>
          <w:sz w:val="24"/>
        </w:rPr>
        <w:t xml:space="preserve">17 RESULTADOS ESPERADOS</w:t>
      </w:r>
      <w:r/>
    </w:p>
    <w:p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</w:rPr>
        <w:t xml:space="preserve">maior integração entre teoria e prática nas disciplinas;</w:t>
      </w:r>
      <w:r/>
    </w:p>
    <w:p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</w:rPr>
        <w:t xml:space="preserve">melhoria da percepção discente sobre aplicabilidade do curso;</w:t>
      </w:r>
      <w:r/>
    </w:p>
    <w:p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</w:rPr>
        <w:t xml:space="preserve">fortalecimento das evidências acadêmicas para avaliação externa;</w:t>
      </w:r>
      <w:r/>
    </w:p>
    <w:p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</w:rPr>
        <w:t xml:space="preserve">padronização do uso da A2 como espaço de aplicação prática;</w:t>
      </w:r>
      <w:r/>
    </w:p>
    <w:p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</w:rPr>
        <w:t xml:space="preserve">ampliação do protagonismo discente;</w:t>
      </w:r>
      <w:r/>
    </w:p>
    <w:p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</w:rPr>
        <w:t xml:space="preserve">redução da fragmentação curricular;</w:t>
      </w:r>
      <w:r/>
    </w:p>
    <w:p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</w:rPr>
        <w:t xml:space="preserve">maior aderência entre ementário, prática pedagógica, avaliação e perfil do egresso;</w:t>
      </w:r>
      <w:r/>
    </w:p>
    <w:p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</w:rPr>
        <w:t xml:space="preserve">consolidação de cultura de melhoria contínua no curso.</w:t>
      </w:r>
      <w:r/>
    </w:p>
    <w:p>
      <w:pPr>
        <w:pStyle w:val="703"/>
        <w:pBdr/>
        <w:spacing w:after="120" w:before="240"/>
        <w:ind/>
        <w:jc w:val="left"/>
        <w:rPr/>
      </w:pPr>
      <w:r>
        <w:rPr>
          <w:rFonts w:ascii="Times New Roman" w:hAnsi="Times New Roman"/>
          <w:b/>
          <w:color w:val="000000"/>
          <w:sz w:val="24"/>
        </w:rPr>
        <w:t xml:space="preserve">18 CONSIDERAÇÕES FINAIS</w:t>
      </w:r>
      <w:r/>
    </w:p>
    <w:p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</w:rPr>
        <w:t xml:space="preserve">O presente Plano de Me</w:t>
      </w:r>
      <w:r>
        <w:rPr>
          <w:rFonts w:ascii="Times New Roman" w:hAnsi="Times New Roman"/>
          <w:b w:val="0"/>
          <w:sz w:val="24"/>
        </w:rPr>
        <w:t xml:space="preserve">lhoria Contínua demonstra que o Curso Superior de Tecnologia em Processos Gerenciais – Campus Salto possui condições de fortalecer substancialmente sua qualidade acadêmica sem alterar o ementário vigente e sem demandar investimentos estruturais relevantes.</w:t>
      </w:r>
      <w:r/>
    </w:p>
    <w:p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</w:rPr>
        <w:t xml:space="preserve">A estratégia proposta concentra-se na reorganização metodológica, na integração entre dis</w:t>
      </w:r>
      <w:r>
        <w:rPr>
          <w:rFonts w:ascii="Times New Roman" w:hAnsi="Times New Roman"/>
          <w:b w:val="0"/>
          <w:sz w:val="24"/>
        </w:rPr>
        <w:t xml:space="preserve">ciplinas, no uso qualificado da avaliação A2, na preservação da A1 regimental, na documentação de evidências e no acompanhamento sistemático por indicadores. Trata-se de um modelo realista, aplicável e compatível com os recursos institucionais disponíveis.</w:t>
      </w:r>
      <w:r/>
    </w:p>
    <w:p>
      <w:pPr>
        <w:pBdr/>
        <w:spacing w:after="0" w:line="360" w:lineRule="auto"/>
        <w:ind w:firstLine="709"/>
        <w:jc w:val="both"/>
        <w:rPr/>
      </w:pPr>
      <w:r>
        <w:rPr>
          <w:rFonts w:ascii="Times New Roman" w:hAnsi="Times New Roman"/>
          <w:b w:val="0"/>
          <w:sz w:val="24"/>
        </w:rPr>
        <w:t xml:space="preserve">Ao transformar as disciplinas em vivências empresariais progressivas, o curso amplia a aprendizagem significativa, fortalece a formação profissional do estudante e produz evidências consis</w:t>
      </w:r>
      <w:r>
        <w:rPr>
          <w:rFonts w:ascii="Times New Roman" w:hAnsi="Times New Roman"/>
          <w:b w:val="0"/>
          <w:sz w:val="24"/>
        </w:rPr>
        <w:t xml:space="preserve">tentes para processos de recredenciamento. Dessa forma, o plano contribui diretamente para a busca de conceito máximo em avaliações externas, ao demonstrar coerência pedagógica, gestão acadêmica, inovação metodológica e compromisso com a melhoria contínua.</w:t>
      </w:r>
      <w:r/>
    </w:p>
    <w:p>
      <w:pPr>
        <w:pStyle w:val="703"/>
        <w:pBdr/>
        <w:spacing w:after="120" w:before="240"/>
        <w:ind/>
        <w:jc w:val="left"/>
        <w:rPr/>
      </w:pPr>
      <w:r>
        <w:rPr>
          <w:rFonts w:ascii="Times New Roman" w:hAnsi="Times New Roman"/>
          <w:b/>
          <w:color w:val="000000"/>
          <w:sz w:val="24"/>
        </w:rPr>
        <w:t xml:space="preserve">REFERÊNCIAS</w:t>
      </w:r>
      <w:r/>
    </w:p>
    <w:p>
      <w:pPr>
        <w:pBdr/>
        <w:spacing w:after="120" w:line="240" w:lineRule="auto"/>
        <w:ind/>
        <w:jc w:val="left"/>
        <w:rPr/>
      </w:pPr>
      <w:r>
        <w:t xml:space="preserve">ASSOCIAÇÃO BRASILEIRA DE NORMAS TÉCNICAS. NBR 14724: Informação e documentação: trabalhos acadêmicos: apresentação. Rio de Janeiro: ABNT, 2011.</w:t>
      </w:r>
      <w:r/>
    </w:p>
    <w:p>
      <w:pPr>
        <w:pBdr/>
        <w:spacing w:after="120" w:line="240" w:lineRule="auto"/>
        <w:ind/>
        <w:jc w:val="left"/>
        <w:rPr/>
      </w:pPr>
      <w:r>
        <w:t xml:space="preserve">BRASIL. Ministério da Educação. Instrumentos de avaliação de cursos de graduação. Brasília: MEC/INEP.</w:t>
      </w:r>
      <w:r/>
    </w:p>
    <w:p>
      <w:pPr>
        <w:pBdr/>
        <w:spacing w:after="120" w:line="240" w:lineRule="auto"/>
        <w:ind/>
        <w:jc w:val="left"/>
        <w:rPr/>
      </w:pPr>
      <w:r>
        <w:t xml:space="preserve">CRUZEIRO DO SUL EDUCACIONAL. Ementário do Curso Superior de Tecnologia em Processos Gerenciais. Documento institucional, 2026.</w:t>
      </w:r>
      <w:r/>
    </w:p>
    <w:p>
      <w:pPr>
        <w:pBdr/>
        <w:spacing w:after="120" w:line="240" w:lineRule="auto"/>
        <w:ind/>
        <w:jc w:val="left"/>
        <w:rPr/>
      </w:pPr>
      <w:r>
        <w:t xml:space="preserve">FREIRE, Paulo. Pedagogia da autonomia: saberes necessários à prática educativa. São Paulo: Paz e Terra.</w:t>
      </w:r>
      <w:r/>
    </w:p>
    <w:p>
      <w:pPr>
        <w:pBdr/>
        <w:spacing w:after="120" w:line="240" w:lineRule="auto"/>
        <w:ind/>
        <w:jc w:val="left"/>
        <w:rPr/>
      </w:pPr>
      <w:r>
        <w:t xml:space="preserve">MORAN, José Manuel. Metodologias ativas para uma aprendizagem mais profunda. In: BACICH, Lilian; MORAN, José Manuel (org.). Metodologias ativas para uma educação inovadora. Porto Alegre: Penso.</w:t>
      </w:r>
      <w:r/>
    </w:p>
    <w:sectPr>
      <w:headerReference w:type="default" r:id="rId9"/>
      <w:footerReference w:type="default" r:id="rId10"/>
      <w:footnotePr/>
      <w:endnotePr/>
      <w:type w:val="nextPage"/>
      <w:pgSz w:h="15840" w:orient="portrait" w:w="12240"/>
      <w:pgMar w:top="1701" w:right="1134" w:bottom="1134" w:left="1701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Courier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1"/>
      <w:pBdr/>
      <w:spacing/>
      <w:ind/>
      <w:jc w:val="center"/>
      <w:rPr/>
    </w:pPr>
    <w:r>
      <w:fldChar w:fldCharType="begin"/>
      <w:instrText xml:space="preserve">PAGE</w:instrText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40BB0A96">
    <w:pPr>
      <w:pStyle w:val="699"/>
      <w:pBdr/>
      <w:spacing/>
      <w:ind/>
      <w:rPr/>
    </w:pPr>
    <w:r/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2048" behindDoc="0" locked="0" layoutInCell="1" allowOverlap="1">
              <wp:simplePos x="0" y="0"/>
              <wp:positionH relativeFrom="column">
                <wp:posOffset>2105977</wp:posOffset>
              </wp:positionH>
              <wp:positionV relativeFrom="paragraph">
                <wp:posOffset>-129268</wp:posOffset>
              </wp:positionV>
              <wp:extent cx="1257316" cy="436212"/>
              <wp:effectExtent l="0" t="0" r="0" b="0"/>
              <wp:wrapSquare wrapText="bothSides"/>
              <wp:docPr id="1" name="Imagem 2" descr="ceunsp_bi_pos_cmyk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61414833" name="Picture 1" descr="ceunsp_bi_pos_cmyk"/>
                      <pic:cNvPicPr>
                        <a:picLocks noChangeAspect="1"/>
                      </pic:cNvPicPr>
                      <pic:nvPr/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 rot="0" flipH="0" flipV="0">
                        <a:off x="0" y="0"/>
                        <a:ext cx="1257315" cy="43621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048;o:allowoverlap:true;o:allowincell:true;mso-position-horizontal-relative:text;margin-left:165.82pt;mso-position-horizontal:absolute;mso-position-vertical-relative:text;margin-top:-10.18pt;mso-position-vertical:absolute;width:99.00pt;height:34.35pt;mso-wrap-distance-left:9.07pt;mso-wrap-distance-top:0.00pt;mso-wrap-distance-right:9.07pt;mso-wrap-distance-bottom:0.00pt;rotation:0;z-index:1;" stroked="f">
              <w10:wrap type="square"/>
              <v:imagedata r:id="rId1" o:title=""/>
              <o:lock v:ext="edit" rotation="t"/>
            </v:shape>
          </w:pict>
        </mc:Fallback>
      </mc:AlternateContent>
    </w:r>
    <w:r/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lvl w:ilvl="0">
      <w:isLgl w:val="false"/>
      <w:lvlJc w:val="left"/>
      <w:lvlText w:val="%1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FFFFFF7D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">
    <w:nsid w:val="FFFFFF7E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pStyle w:val="738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3">
    <w:nsid w:val="FFFFFF7F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pStyle w:val="737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">
    <w:nsid w:val="FFFFFF81"/>
    <w:lvl w:ilvl="0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5">
    <w:nsid w:val="FFFFFF82"/>
    <w:lvl w:ilvl="0">
      <w:isLgl w:val="false"/>
      <w:lvlJc w:val="left"/>
      <w:lvlText w:val=""/>
      <w:numFmt w:val="bullet"/>
      <w:pPr>
        <w:pBdr/>
        <w:tabs>
          <w:tab w:val="num" w:leader="none" w:pos="1080"/>
        </w:tabs>
        <w:spacing/>
        <w:ind w:hanging="360" w:left="1080"/>
      </w:pPr>
      <w:pStyle w:val="735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6">
    <w:nsid w:val="FFFFFF83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pStyle w:val="734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7">
    <w:nsid w:val="FFFFFF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pStyle w:val="736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8">
    <w:nsid w:val="FFFFFF89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pStyle w:val="733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71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71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71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81">
    <w:name w:val="footnote text"/>
    <w:basedOn w:val="698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712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712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698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712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712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712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71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698"/>
    <w:next w:val="698"/>
    <w:uiPriority w:val="39"/>
    <w:unhideWhenUsed/>
    <w:pPr>
      <w:pBdr/>
      <w:spacing w:after="100"/>
      <w:ind/>
    </w:pPr>
  </w:style>
  <w:style w:type="paragraph" w:styleId="190">
    <w:name w:val="toc 2"/>
    <w:basedOn w:val="698"/>
    <w:next w:val="698"/>
    <w:uiPriority w:val="39"/>
    <w:unhideWhenUsed/>
    <w:pPr>
      <w:pBdr/>
      <w:spacing w:after="100"/>
      <w:ind w:left="220"/>
    </w:pPr>
  </w:style>
  <w:style w:type="paragraph" w:styleId="191">
    <w:name w:val="toc 3"/>
    <w:basedOn w:val="698"/>
    <w:next w:val="698"/>
    <w:uiPriority w:val="39"/>
    <w:unhideWhenUsed/>
    <w:pPr>
      <w:pBdr/>
      <w:spacing w:after="100"/>
      <w:ind w:left="440"/>
    </w:pPr>
  </w:style>
  <w:style w:type="paragraph" w:styleId="192">
    <w:name w:val="toc 4"/>
    <w:basedOn w:val="698"/>
    <w:next w:val="698"/>
    <w:uiPriority w:val="39"/>
    <w:unhideWhenUsed/>
    <w:pPr>
      <w:pBdr/>
      <w:spacing w:after="100"/>
      <w:ind w:left="660"/>
    </w:pPr>
  </w:style>
  <w:style w:type="paragraph" w:styleId="193">
    <w:name w:val="toc 5"/>
    <w:basedOn w:val="698"/>
    <w:next w:val="698"/>
    <w:uiPriority w:val="39"/>
    <w:unhideWhenUsed/>
    <w:pPr>
      <w:pBdr/>
      <w:spacing w:after="100"/>
      <w:ind w:left="880"/>
    </w:pPr>
  </w:style>
  <w:style w:type="paragraph" w:styleId="194">
    <w:name w:val="toc 6"/>
    <w:basedOn w:val="698"/>
    <w:next w:val="698"/>
    <w:uiPriority w:val="39"/>
    <w:unhideWhenUsed/>
    <w:pPr>
      <w:pBdr/>
      <w:spacing w:after="100"/>
      <w:ind w:left="1100"/>
    </w:pPr>
  </w:style>
  <w:style w:type="paragraph" w:styleId="195">
    <w:name w:val="toc 7"/>
    <w:basedOn w:val="698"/>
    <w:next w:val="698"/>
    <w:uiPriority w:val="39"/>
    <w:unhideWhenUsed/>
    <w:pPr>
      <w:pBdr/>
      <w:spacing w:after="100"/>
      <w:ind w:left="1320"/>
    </w:pPr>
  </w:style>
  <w:style w:type="paragraph" w:styleId="196">
    <w:name w:val="toc 8"/>
    <w:basedOn w:val="698"/>
    <w:next w:val="698"/>
    <w:uiPriority w:val="39"/>
    <w:unhideWhenUsed/>
    <w:pPr>
      <w:pBdr/>
      <w:spacing w:after="100"/>
      <w:ind w:left="1540"/>
    </w:pPr>
  </w:style>
  <w:style w:type="paragraph" w:styleId="197">
    <w:name w:val="toc 9"/>
    <w:basedOn w:val="698"/>
    <w:next w:val="698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712"/>
    <w:uiPriority w:val="99"/>
    <w:semiHidden/>
    <w:pPr>
      <w:pBdr/>
      <w:spacing/>
      <w:ind/>
    </w:pPr>
    <w:rPr>
      <w:color w:val="666666"/>
    </w:rPr>
  </w:style>
  <w:style w:type="paragraph" w:styleId="209">
    <w:name w:val="table of figures"/>
    <w:basedOn w:val="698"/>
    <w:next w:val="698"/>
    <w:uiPriority w:val="99"/>
    <w:unhideWhenUsed/>
    <w:pPr>
      <w:pBdr/>
      <w:spacing w:after="0" w:afterAutospacing="0"/>
      <w:ind/>
    </w:pPr>
  </w:style>
  <w:style w:type="paragraph" w:styleId="698" w:default="1">
    <w:name w:val="Normal"/>
    <w:qFormat/>
    <w:pPr>
      <w:pBdr/>
      <w:spacing/>
      <w:ind/>
    </w:pPr>
    <w:rPr>
      <w:rFonts w:ascii="Times New Roman" w:hAnsi="Times New Roman" w:eastAsia="Times New Roman"/>
      <w:sz w:val="24"/>
    </w:rPr>
  </w:style>
  <w:style w:type="paragraph" w:styleId="699">
    <w:name w:val="Header"/>
    <w:basedOn w:val="698"/>
    <w:link w:val="700"/>
    <w:uiPriority w:val="99"/>
    <w:unhideWhenUsed/>
    <w:pPr>
      <w:pBdr/>
      <w:tabs>
        <w:tab w:val="center" w:leader="none" w:pos="4680"/>
        <w:tab w:val="right" w:leader="none" w:pos="9360"/>
      </w:tabs>
      <w:spacing w:after="0" w:line="240" w:lineRule="auto"/>
      <w:ind/>
    </w:pPr>
  </w:style>
  <w:style w:type="character" w:styleId="700" w:customStyle="1">
    <w:name w:val="Header Char"/>
    <w:basedOn w:val="712"/>
    <w:link w:val="699"/>
    <w:uiPriority w:val="99"/>
    <w:pPr>
      <w:pBdr/>
      <w:spacing/>
      <w:ind/>
    </w:pPr>
  </w:style>
  <w:style w:type="paragraph" w:styleId="701">
    <w:name w:val="Footer"/>
    <w:basedOn w:val="698"/>
    <w:link w:val="702"/>
    <w:uiPriority w:val="99"/>
    <w:unhideWhenUsed/>
    <w:pPr>
      <w:pBdr/>
      <w:tabs>
        <w:tab w:val="center" w:leader="none" w:pos="4680"/>
        <w:tab w:val="right" w:leader="none" w:pos="9360"/>
      </w:tabs>
      <w:spacing w:after="0" w:line="240" w:lineRule="auto"/>
      <w:ind/>
    </w:pPr>
  </w:style>
  <w:style w:type="character" w:styleId="702" w:customStyle="1">
    <w:name w:val="Footer Char"/>
    <w:basedOn w:val="712"/>
    <w:link w:val="701"/>
    <w:uiPriority w:val="99"/>
    <w:pPr>
      <w:pBdr/>
      <w:spacing/>
      <w:ind/>
    </w:pPr>
  </w:style>
  <w:style w:type="paragraph" w:styleId="703">
    <w:name w:val="Heading 1"/>
    <w:basedOn w:val="698"/>
    <w:next w:val="698"/>
    <w:link w:val="716"/>
    <w:uiPriority w:val="9"/>
    <w:qFormat/>
    <w:pPr>
      <w:keepNext w:val="true"/>
      <w:keepLines w:val="true"/>
      <w:pBdr/>
      <w:spacing w:after="0" w:before="480"/>
      <w:ind/>
      <w:outlineLvl w:val="0"/>
    </w:pPr>
    <w:rPr>
      <w:rFonts w:ascii="Times New Roman" w:hAnsi="Times New Roman" w:eastAsia="Times New Roman" w:asciiTheme="majorHAnsi" w:hAnsiTheme="majorHAnsi" w:eastAsiaTheme="majorEastAsia" w:cstheme="majorBidi"/>
      <w:b/>
      <w:bCs/>
      <w:color w:val="000000"/>
      <w:sz w:val="24"/>
      <w:szCs w:val="28"/>
    </w:rPr>
  </w:style>
  <w:style w:type="paragraph" w:styleId="704">
    <w:name w:val="Heading 2"/>
    <w:basedOn w:val="698"/>
    <w:next w:val="698"/>
    <w:link w:val="717"/>
    <w:uiPriority w:val="9"/>
    <w:unhideWhenUsed/>
    <w:qFormat/>
    <w:pPr>
      <w:keepNext w:val="true"/>
      <w:keepLines w:val="true"/>
      <w:pBdr/>
      <w:spacing w:after="0" w:before="200"/>
      <w:ind/>
      <w:outlineLvl w:val="1"/>
    </w:pPr>
    <w:rPr>
      <w:rFonts w:ascii="Times New Roman" w:hAnsi="Times New Roman" w:eastAsia="Times New Roman" w:asciiTheme="majorHAnsi" w:hAnsiTheme="majorHAnsi" w:eastAsiaTheme="majorEastAsia" w:cstheme="majorBidi"/>
      <w:b/>
      <w:bCs/>
      <w:color w:val="000000"/>
      <w:sz w:val="24"/>
      <w:szCs w:val="26"/>
    </w:rPr>
  </w:style>
  <w:style w:type="paragraph" w:styleId="705">
    <w:name w:val="Heading 3"/>
    <w:basedOn w:val="698"/>
    <w:next w:val="698"/>
    <w:link w:val="718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="Times New Roman" w:hAnsi="Times New Roman" w:eastAsia="Times New Roman" w:asciiTheme="majorHAnsi" w:hAnsiTheme="majorHAnsi" w:eastAsiaTheme="majorEastAsia" w:cstheme="majorBidi"/>
      <w:b/>
      <w:bCs/>
      <w:color w:val="000000"/>
      <w:sz w:val="24"/>
    </w:rPr>
  </w:style>
  <w:style w:type="paragraph" w:styleId="706">
    <w:name w:val="Heading 4"/>
    <w:basedOn w:val="698"/>
    <w:next w:val="698"/>
    <w:link w:val="746"/>
    <w:uiPriority w:val="9"/>
    <w:semiHidden/>
    <w:unhideWhenUsed/>
    <w:qFormat/>
    <w:pPr>
      <w:keepNext w:val="true"/>
      <w:keepLines w:val="true"/>
      <w:pBdr/>
      <w:spacing w:after="0" w:before="200"/>
      <w:ind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707">
    <w:name w:val="Heading 5"/>
    <w:basedOn w:val="698"/>
    <w:next w:val="698"/>
    <w:link w:val="747"/>
    <w:uiPriority w:val="9"/>
    <w:semiHidden/>
    <w:unhideWhenUsed/>
    <w:qFormat/>
    <w:pPr>
      <w:keepNext w:val="true"/>
      <w:keepLines w:val="true"/>
      <w:pBdr/>
      <w:spacing w:after="0" w:before="200"/>
      <w:ind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708">
    <w:name w:val="Heading 6"/>
    <w:basedOn w:val="698"/>
    <w:next w:val="698"/>
    <w:link w:val="748"/>
    <w:uiPriority w:val="9"/>
    <w:semiHidden/>
    <w:unhideWhenUsed/>
    <w:qFormat/>
    <w:pPr>
      <w:keepNext w:val="true"/>
      <w:keepLines w:val="true"/>
      <w:pBdr/>
      <w:spacing w:after="0" w:before="200"/>
      <w:ind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709">
    <w:name w:val="Heading 7"/>
    <w:basedOn w:val="698"/>
    <w:next w:val="698"/>
    <w:link w:val="749"/>
    <w:uiPriority w:val="9"/>
    <w:semiHidden/>
    <w:unhideWhenUsed/>
    <w:qFormat/>
    <w:pPr>
      <w:keepNext w:val="true"/>
      <w:keepLines w:val="true"/>
      <w:pBdr/>
      <w:spacing w:after="0" w:before="200"/>
      <w:ind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710">
    <w:name w:val="Heading 8"/>
    <w:basedOn w:val="698"/>
    <w:next w:val="698"/>
    <w:link w:val="750"/>
    <w:uiPriority w:val="9"/>
    <w:semiHidden/>
    <w:unhideWhenUsed/>
    <w:qFormat/>
    <w:pPr>
      <w:keepNext w:val="true"/>
      <w:keepLines w:val="true"/>
      <w:pBdr/>
      <w:spacing w:after="0" w:before="200"/>
      <w:ind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711">
    <w:name w:val="Heading 9"/>
    <w:basedOn w:val="698"/>
    <w:next w:val="698"/>
    <w:link w:val="751"/>
    <w:uiPriority w:val="9"/>
    <w:semiHidden/>
    <w:unhideWhenUsed/>
    <w:qFormat/>
    <w:pPr>
      <w:keepNext w:val="true"/>
      <w:keepLines w:val="true"/>
      <w:pBdr/>
      <w:spacing w:after="0" w:before="200"/>
      <w:ind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712" w:default="1">
    <w:name w:val="Default Paragraph Font"/>
    <w:uiPriority w:val="1"/>
    <w:semiHidden/>
    <w:unhideWhenUsed/>
    <w:pPr>
      <w:pBdr/>
      <w:spacing/>
      <w:ind/>
    </w:pPr>
  </w:style>
  <w:style w:type="table" w:styleId="71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14" w:default="1">
    <w:name w:val="No List"/>
    <w:uiPriority w:val="99"/>
    <w:semiHidden/>
    <w:unhideWhenUsed/>
    <w:pPr>
      <w:pBdr/>
      <w:spacing/>
      <w:ind/>
    </w:pPr>
  </w:style>
  <w:style w:type="paragraph" w:styleId="715">
    <w:name w:val="No Spacing"/>
    <w:uiPriority w:val="1"/>
    <w:qFormat/>
    <w:pPr>
      <w:pBdr/>
      <w:spacing w:after="0" w:line="240" w:lineRule="auto"/>
      <w:ind/>
    </w:pPr>
  </w:style>
  <w:style w:type="character" w:styleId="716" w:customStyle="1">
    <w:name w:val="Heading 1 Char"/>
    <w:basedOn w:val="712"/>
    <w:link w:val="703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717" w:customStyle="1">
    <w:name w:val="Heading 2 Char"/>
    <w:basedOn w:val="712"/>
    <w:link w:val="704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718" w:customStyle="1">
    <w:name w:val="Heading 3 Char"/>
    <w:basedOn w:val="712"/>
    <w:link w:val="705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719">
    <w:name w:val="Title"/>
    <w:basedOn w:val="698"/>
    <w:next w:val="698"/>
    <w:link w:val="720"/>
    <w:uiPriority w:val="10"/>
    <w:qFormat/>
    <w:pPr>
      <w:pBdr>
        <w:bottom w:val="single" w:color="4f81bd" w:themeColor="accent1" w:sz="8" w:space="4"/>
      </w:pBdr>
      <w:spacing w:after="300" w:line="240" w:lineRule="auto"/>
      <w:ind/>
      <w:contextualSpacing w:val="true"/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720" w:customStyle="1">
    <w:name w:val="Title Char"/>
    <w:basedOn w:val="712"/>
    <w:link w:val="719"/>
    <w:uiPriority w:val="10"/>
    <w:pPr>
      <w:pBdr/>
      <w:spacing/>
      <w:ind/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721">
    <w:name w:val="Subtitle"/>
    <w:basedOn w:val="698"/>
    <w:next w:val="698"/>
    <w:link w:val="722"/>
    <w:uiPriority w:val="11"/>
    <w:qFormat/>
    <w:pPr>
      <w:numPr>
        <w:ilvl w:val="1"/>
      </w:numPr>
      <w:pBdr/>
      <w:spacing/>
      <w:ind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722" w:customStyle="1">
    <w:name w:val="Subtitle Char"/>
    <w:basedOn w:val="712"/>
    <w:link w:val="721"/>
    <w:uiPriority w:val="11"/>
    <w:pPr>
      <w:pBdr/>
      <w:spacing/>
      <w:ind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723">
    <w:name w:val="List Paragraph"/>
    <w:basedOn w:val="698"/>
    <w:uiPriority w:val="34"/>
    <w:qFormat/>
    <w:pPr>
      <w:pBdr/>
      <w:spacing/>
      <w:ind w:left="720"/>
      <w:contextualSpacing w:val="true"/>
    </w:pPr>
  </w:style>
  <w:style w:type="paragraph" w:styleId="724">
    <w:name w:val="Body Text"/>
    <w:basedOn w:val="698"/>
    <w:link w:val="725"/>
    <w:uiPriority w:val="99"/>
    <w:unhideWhenUsed/>
    <w:pPr>
      <w:pBdr/>
      <w:spacing w:after="120"/>
      <w:ind/>
    </w:pPr>
  </w:style>
  <w:style w:type="character" w:styleId="725" w:customStyle="1">
    <w:name w:val="Body Text Char"/>
    <w:basedOn w:val="712"/>
    <w:link w:val="724"/>
    <w:uiPriority w:val="99"/>
    <w:pPr>
      <w:pBdr/>
      <w:spacing/>
      <w:ind/>
    </w:pPr>
  </w:style>
  <w:style w:type="paragraph" w:styleId="726">
    <w:name w:val="Body Text 2"/>
    <w:basedOn w:val="698"/>
    <w:link w:val="727"/>
    <w:uiPriority w:val="99"/>
    <w:unhideWhenUsed/>
    <w:pPr>
      <w:pBdr/>
      <w:spacing w:after="120" w:line="480" w:lineRule="auto"/>
      <w:ind/>
    </w:pPr>
  </w:style>
  <w:style w:type="character" w:styleId="727" w:customStyle="1">
    <w:name w:val="Body Text 2 Char"/>
    <w:basedOn w:val="712"/>
    <w:link w:val="726"/>
    <w:uiPriority w:val="99"/>
    <w:pPr>
      <w:pBdr/>
      <w:spacing/>
      <w:ind/>
    </w:pPr>
  </w:style>
  <w:style w:type="paragraph" w:styleId="728">
    <w:name w:val="Body Text 3"/>
    <w:basedOn w:val="698"/>
    <w:link w:val="729"/>
    <w:uiPriority w:val="99"/>
    <w:unhideWhenUsed/>
    <w:pPr>
      <w:pBdr/>
      <w:spacing w:after="120"/>
      <w:ind/>
    </w:pPr>
    <w:rPr>
      <w:sz w:val="16"/>
      <w:szCs w:val="16"/>
    </w:rPr>
  </w:style>
  <w:style w:type="character" w:styleId="729" w:customStyle="1">
    <w:name w:val="Body Text 3 Char"/>
    <w:basedOn w:val="712"/>
    <w:link w:val="728"/>
    <w:uiPriority w:val="99"/>
    <w:pPr>
      <w:pBdr/>
      <w:spacing/>
      <w:ind/>
    </w:pPr>
    <w:rPr>
      <w:sz w:val="16"/>
      <w:szCs w:val="16"/>
    </w:rPr>
  </w:style>
  <w:style w:type="paragraph" w:styleId="730">
    <w:name w:val="List"/>
    <w:basedOn w:val="698"/>
    <w:uiPriority w:val="99"/>
    <w:unhideWhenUsed/>
    <w:pPr>
      <w:pBdr/>
      <w:spacing/>
      <w:ind w:hanging="360" w:left="360"/>
      <w:contextualSpacing w:val="true"/>
    </w:pPr>
  </w:style>
  <w:style w:type="paragraph" w:styleId="731">
    <w:name w:val="List 2"/>
    <w:basedOn w:val="698"/>
    <w:uiPriority w:val="99"/>
    <w:unhideWhenUsed/>
    <w:pPr>
      <w:pBdr/>
      <w:spacing/>
      <w:ind w:hanging="360" w:left="720"/>
      <w:contextualSpacing w:val="true"/>
    </w:pPr>
  </w:style>
  <w:style w:type="paragraph" w:styleId="732">
    <w:name w:val="List 3"/>
    <w:basedOn w:val="698"/>
    <w:uiPriority w:val="99"/>
    <w:unhideWhenUsed/>
    <w:pPr>
      <w:pBdr/>
      <w:spacing/>
      <w:ind w:hanging="360" w:left="1080"/>
      <w:contextualSpacing w:val="true"/>
    </w:pPr>
  </w:style>
  <w:style w:type="paragraph" w:styleId="733">
    <w:name w:val="List Bullet"/>
    <w:basedOn w:val="698"/>
    <w:uiPriority w:val="99"/>
    <w:unhideWhenUsed/>
    <w:pPr>
      <w:numPr>
        <w:numId w:val="1"/>
      </w:numPr>
      <w:pBdr/>
      <w:spacing/>
      <w:ind/>
      <w:contextualSpacing w:val="true"/>
    </w:pPr>
  </w:style>
  <w:style w:type="paragraph" w:styleId="734">
    <w:name w:val="List Bullet 2"/>
    <w:basedOn w:val="698"/>
    <w:uiPriority w:val="99"/>
    <w:unhideWhenUsed/>
    <w:pPr>
      <w:numPr>
        <w:numId w:val="2"/>
      </w:numPr>
      <w:pBdr/>
      <w:spacing/>
      <w:ind/>
      <w:contextualSpacing w:val="true"/>
    </w:pPr>
  </w:style>
  <w:style w:type="paragraph" w:styleId="735">
    <w:name w:val="List Bullet 3"/>
    <w:basedOn w:val="698"/>
    <w:uiPriority w:val="99"/>
    <w:unhideWhenUsed/>
    <w:pPr>
      <w:numPr>
        <w:numId w:val="3"/>
      </w:numPr>
      <w:pBdr/>
      <w:spacing/>
      <w:ind/>
      <w:contextualSpacing w:val="true"/>
    </w:pPr>
  </w:style>
  <w:style w:type="paragraph" w:styleId="736">
    <w:name w:val="List Number"/>
    <w:basedOn w:val="698"/>
    <w:uiPriority w:val="99"/>
    <w:unhideWhenUsed/>
    <w:pPr>
      <w:numPr>
        <w:numId w:val="5"/>
      </w:numPr>
      <w:pBdr/>
      <w:spacing/>
      <w:ind/>
      <w:contextualSpacing w:val="true"/>
    </w:pPr>
  </w:style>
  <w:style w:type="paragraph" w:styleId="737">
    <w:name w:val="List Number 2"/>
    <w:basedOn w:val="698"/>
    <w:uiPriority w:val="99"/>
    <w:unhideWhenUsed/>
    <w:pPr>
      <w:numPr>
        <w:numId w:val="6"/>
      </w:numPr>
      <w:pBdr/>
      <w:spacing/>
      <w:ind/>
      <w:contextualSpacing w:val="true"/>
    </w:pPr>
  </w:style>
  <w:style w:type="paragraph" w:styleId="738">
    <w:name w:val="List Number 3"/>
    <w:basedOn w:val="698"/>
    <w:uiPriority w:val="99"/>
    <w:unhideWhenUsed/>
    <w:pPr>
      <w:numPr>
        <w:numId w:val="7"/>
      </w:numPr>
      <w:pBdr/>
      <w:spacing/>
      <w:ind/>
      <w:contextualSpacing w:val="true"/>
    </w:pPr>
  </w:style>
  <w:style w:type="paragraph" w:styleId="739">
    <w:name w:val="List Continue"/>
    <w:basedOn w:val="698"/>
    <w:uiPriority w:val="99"/>
    <w:unhideWhenUsed/>
    <w:pPr>
      <w:pBdr/>
      <w:spacing w:after="120"/>
      <w:ind w:left="360"/>
      <w:contextualSpacing w:val="true"/>
    </w:pPr>
  </w:style>
  <w:style w:type="paragraph" w:styleId="740">
    <w:name w:val="List Continue 2"/>
    <w:basedOn w:val="698"/>
    <w:uiPriority w:val="99"/>
    <w:unhideWhenUsed/>
    <w:pPr>
      <w:pBdr/>
      <w:spacing w:after="120"/>
      <w:ind w:left="720"/>
      <w:contextualSpacing w:val="true"/>
    </w:pPr>
  </w:style>
  <w:style w:type="paragraph" w:styleId="741">
    <w:name w:val="List Continue 3"/>
    <w:basedOn w:val="698"/>
    <w:uiPriority w:val="99"/>
    <w:unhideWhenUsed/>
    <w:pPr>
      <w:pBdr/>
      <w:spacing w:after="120"/>
      <w:ind w:left="1080"/>
      <w:contextualSpacing w:val="true"/>
    </w:pPr>
  </w:style>
  <w:style w:type="paragraph" w:styleId="742">
    <w:name w:val="macro"/>
    <w:link w:val="743"/>
    <w:uiPriority w:val="99"/>
    <w:unhideWhenUsed/>
    <w:pPr>
      <w:pBdr/>
      <w:tabs>
        <w:tab w:val="left" w:leader="none" w:pos="576"/>
        <w:tab w:val="left" w:leader="none" w:pos="1152"/>
        <w:tab w:val="left" w:leader="none" w:pos="1728"/>
        <w:tab w:val="left" w:leader="none" w:pos="2304"/>
        <w:tab w:val="left" w:leader="none" w:pos="2880"/>
        <w:tab w:val="left" w:leader="none" w:pos="3456"/>
        <w:tab w:val="left" w:leader="none" w:pos="4032"/>
      </w:tabs>
      <w:spacing/>
      <w:ind/>
    </w:pPr>
    <w:rPr>
      <w:rFonts w:ascii="Courier" w:hAnsi="Courier"/>
      <w:sz w:val="20"/>
      <w:szCs w:val="20"/>
    </w:rPr>
  </w:style>
  <w:style w:type="character" w:styleId="743" w:customStyle="1">
    <w:name w:val="Macro Text Char"/>
    <w:basedOn w:val="712"/>
    <w:link w:val="742"/>
    <w:uiPriority w:val="99"/>
    <w:pPr>
      <w:pBdr/>
      <w:spacing/>
      <w:ind/>
    </w:pPr>
    <w:rPr>
      <w:rFonts w:ascii="Courier" w:hAnsi="Courier"/>
      <w:sz w:val="20"/>
      <w:szCs w:val="20"/>
    </w:rPr>
  </w:style>
  <w:style w:type="paragraph" w:styleId="744">
    <w:name w:val="Quote"/>
    <w:basedOn w:val="698"/>
    <w:next w:val="698"/>
    <w:link w:val="745"/>
    <w:uiPriority w:val="29"/>
    <w:qFormat/>
    <w:pPr>
      <w:pBdr/>
      <w:spacing/>
      <w:ind/>
    </w:pPr>
    <w:rPr>
      <w:i/>
      <w:iCs/>
      <w:color w:val="000000" w:themeColor="text1"/>
    </w:rPr>
  </w:style>
  <w:style w:type="character" w:styleId="745" w:customStyle="1">
    <w:name w:val="Quote Char"/>
    <w:basedOn w:val="712"/>
    <w:link w:val="744"/>
    <w:uiPriority w:val="29"/>
    <w:pPr>
      <w:pBdr/>
      <w:spacing/>
      <w:ind/>
    </w:pPr>
    <w:rPr>
      <w:i/>
      <w:iCs/>
      <w:color w:val="000000" w:themeColor="text1"/>
    </w:rPr>
  </w:style>
  <w:style w:type="character" w:styleId="746" w:customStyle="1">
    <w:name w:val="Heading 4 Char"/>
    <w:basedOn w:val="712"/>
    <w:link w:val="706"/>
    <w:uiPriority w:val="9"/>
    <w:semiHidden/>
    <w:pPr>
      <w:pBdr/>
      <w:spacing/>
      <w:ind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747" w:customStyle="1">
    <w:name w:val="Heading 5 Char"/>
    <w:basedOn w:val="712"/>
    <w:link w:val="707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243f60" w:themeColor="accent1" w:themeShade="7F"/>
    </w:rPr>
  </w:style>
  <w:style w:type="character" w:styleId="748" w:customStyle="1">
    <w:name w:val="Heading 6 Char"/>
    <w:basedOn w:val="712"/>
    <w:link w:val="708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749" w:customStyle="1">
    <w:name w:val="Heading 7 Char"/>
    <w:basedOn w:val="712"/>
    <w:link w:val="709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750" w:customStyle="1">
    <w:name w:val="Heading 8 Char"/>
    <w:basedOn w:val="712"/>
    <w:link w:val="710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751" w:customStyle="1">
    <w:name w:val="Heading 9 Char"/>
    <w:basedOn w:val="712"/>
    <w:link w:val="711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752">
    <w:name w:val="Caption"/>
    <w:basedOn w:val="698"/>
    <w:next w:val="698"/>
    <w:uiPriority w:val="35"/>
    <w:semiHidden/>
    <w:unhideWhenUsed/>
    <w:qFormat/>
    <w:pPr>
      <w:pBdr/>
      <w:spacing w:line="240" w:lineRule="auto"/>
      <w:ind/>
    </w:pPr>
    <w:rPr>
      <w:b/>
      <w:bCs/>
      <w:color w:val="4f81bd" w:themeColor="accent1"/>
      <w:sz w:val="18"/>
      <w:szCs w:val="18"/>
    </w:rPr>
  </w:style>
  <w:style w:type="character" w:styleId="753">
    <w:name w:val="Strong"/>
    <w:basedOn w:val="712"/>
    <w:uiPriority w:val="22"/>
    <w:qFormat/>
    <w:pPr>
      <w:pBdr/>
      <w:spacing/>
      <w:ind/>
    </w:pPr>
    <w:rPr>
      <w:b/>
      <w:bCs/>
    </w:rPr>
  </w:style>
  <w:style w:type="character" w:styleId="754">
    <w:name w:val="Emphasis"/>
    <w:basedOn w:val="712"/>
    <w:uiPriority w:val="20"/>
    <w:qFormat/>
    <w:pPr>
      <w:pBdr/>
      <w:spacing/>
      <w:ind/>
    </w:pPr>
    <w:rPr>
      <w:i/>
      <w:iCs/>
    </w:rPr>
  </w:style>
  <w:style w:type="paragraph" w:styleId="755">
    <w:name w:val="Intense Quote"/>
    <w:basedOn w:val="698"/>
    <w:next w:val="698"/>
    <w:link w:val="756"/>
    <w:uiPriority w:val="30"/>
    <w:qFormat/>
    <w:pPr>
      <w:pBdr>
        <w:bottom w:val="single" w:color="4f81bd" w:themeColor="accent1" w:sz="4" w:space="4"/>
      </w:pBdr>
      <w:spacing w:after="280" w:before="200"/>
      <w:ind w:right="936" w:left="936"/>
    </w:pPr>
    <w:rPr>
      <w:b/>
      <w:bCs/>
      <w:i/>
      <w:iCs/>
      <w:color w:val="4f81bd" w:themeColor="accent1"/>
    </w:rPr>
  </w:style>
  <w:style w:type="character" w:styleId="756" w:customStyle="1">
    <w:name w:val="Intense Quote Char"/>
    <w:basedOn w:val="712"/>
    <w:link w:val="755"/>
    <w:uiPriority w:val="30"/>
    <w:pPr>
      <w:pBdr/>
      <w:spacing/>
      <w:ind/>
    </w:pPr>
    <w:rPr>
      <w:b/>
      <w:bCs/>
      <w:i/>
      <w:iCs/>
      <w:color w:val="4f81bd" w:themeColor="accent1"/>
    </w:rPr>
  </w:style>
  <w:style w:type="character" w:styleId="757">
    <w:name w:val="Subtle Emphasis"/>
    <w:basedOn w:val="712"/>
    <w:uiPriority w:val="19"/>
    <w:qFormat/>
    <w:pPr>
      <w:pBdr/>
      <w:spacing/>
      <w:ind/>
    </w:pPr>
    <w:rPr>
      <w:i/>
      <w:iCs/>
      <w:color w:val="808080" w:themeColor="text1" w:themeTint="7F"/>
    </w:rPr>
  </w:style>
  <w:style w:type="character" w:styleId="758">
    <w:name w:val="Intense Emphasis"/>
    <w:basedOn w:val="712"/>
    <w:uiPriority w:val="21"/>
    <w:qFormat/>
    <w:pPr>
      <w:pBdr/>
      <w:spacing/>
      <w:ind/>
    </w:pPr>
    <w:rPr>
      <w:b/>
      <w:bCs/>
      <w:i/>
      <w:iCs/>
      <w:color w:val="4f81bd" w:themeColor="accent1"/>
    </w:rPr>
  </w:style>
  <w:style w:type="character" w:styleId="759">
    <w:name w:val="Subtle Reference"/>
    <w:basedOn w:val="712"/>
    <w:uiPriority w:val="31"/>
    <w:qFormat/>
    <w:pPr>
      <w:pBdr/>
      <w:spacing/>
      <w:ind/>
    </w:pPr>
    <w:rPr>
      <w:smallCaps/>
      <w:color w:val="c0504d" w:themeColor="accent2"/>
      <w:u w:val="single"/>
    </w:rPr>
  </w:style>
  <w:style w:type="character" w:styleId="760">
    <w:name w:val="Intense Reference"/>
    <w:basedOn w:val="712"/>
    <w:uiPriority w:val="32"/>
    <w:qFormat/>
    <w:pPr>
      <w:pBdr/>
      <w:spacing/>
      <w:ind/>
    </w:pPr>
    <w:rPr>
      <w:b/>
      <w:bCs/>
      <w:smallCaps/>
      <w:color w:val="c0504d" w:themeColor="accent2"/>
      <w:spacing w:val="5"/>
      <w:u w:val="single"/>
    </w:rPr>
  </w:style>
  <w:style w:type="character" w:styleId="761">
    <w:name w:val="Book Title"/>
    <w:basedOn w:val="712"/>
    <w:uiPriority w:val="33"/>
    <w:qFormat/>
    <w:pPr>
      <w:pBdr/>
      <w:spacing/>
      <w:ind/>
    </w:pPr>
    <w:rPr>
      <w:b/>
      <w:bCs/>
      <w:smallCaps/>
      <w:spacing w:val="5"/>
    </w:rPr>
  </w:style>
  <w:style w:type="paragraph" w:styleId="762">
    <w:name w:val="TOC Heading"/>
    <w:basedOn w:val="703"/>
    <w:next w:val="698"/>
    <w:uiPriority w:val="39"/>
    <w:semiHidden/>
    <w:unhideWhenUsed/>
    <w:qFormat/>
    <w:pPr>
      <w:pBdr/>
      <w:spacing/>
      <w:ind/>
      <w:outlineLvl w:val="9"/>
    </w:pPr>
  </w:style>
  <w:style w:type="table" w:styleId="763">
    <w:name w:val="Table Grid"/>
    <w:basedOn w:val="71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ght Shading"/>
    <w:basedOn w:val="713"/>
    <w:uiPriority w:val="60"/>
    <w:pPr>
      <w:pBdr/>
      <w:spacing w:after="0" w:line="240" w:lineRule="auto"/>
      <w:ind/>
    </w:pPr>
    <w:rPr>
      <w:color w:val="000000" w:themeColor="text1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bottom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ght Shading Accent 1"/>
    <w:basedOn w:val="713"/>
    <w:uiPriority w:val="60"/>
    <w:pPr>
      <w:pBdr/>
      <w:spacing w:after="0" w:line="240" w:lineRule="auto"/>
      <w:ind/>
    </w:pPr>
    <w:rPr>
      <w:color w:val="365f91" w:themeColor="accent1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bottom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ght Shading Accent 2"/>
    <w:basedOn w:val="713"/>
    <w:uiPriority w:val="60"/>
    <w:pPr>
      <w:pBdr/>
      <w:spacing w:after="0" w:line="240" w:lineRule="auto"/>
      <w:ind/>
    </w:pPr>
    <w:rPr>
      <w:color w:val="943634" w:themeColor="accent2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bottom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ght Shading Accent 3"/>
    <w:basedOn w:val="713"/>
    <w:uiPriority w:val="60"/>
    <w:pPr>
      <w:pBdr/>
      <w:spacing w:after="0" w:line="240" w:lineRule="auto"/>
      <w:ind/>
    </w:pPr>
    <w:rPr>
      <w:color w:val="76923c" w:themeColor="accent3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bottom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ght Shading Accent 4"/>
    <w:basedOn w:val="713"/>
    <w:uiPriority w:val="60"/>
    <w:pPr>
      <w:pBdr/>
      <w:spacing w:after="0" w:line="240" w:lineRule="auto"/>
      <w:ind/>
    </w:pPr>
    <w:rPr>
      <w:color w:val="5f497a" w:themeColor="accent4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bottom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ght Shading Accent 5"/>
    <w:basedOn w:val="713"/>
    <w:uiPriority w:val="60"/>
    <w:pPr>
      <w:pBdr/>
      <w:spacing w:after="0" w:line="240" w:lineRule="auto"/>
      <w:ind/>
    </w:pPr>
    <w:rPr>
      <w:color w:val="31849b" w:themeColor="accent5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bottom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ght Shading Accent 6"/>
    <w:basedOn w:val="713"/>
    <w:uiPriority w:val="60"/>
    <w:pPr>
      <w:pBdr/>
      <w:spacing w:after="0" w:line="240" w:lineRule="auto"/>
      <w:ind/>
    </w:pPr>
    <w:rPr>
      <w:color w:val="e36c0a" w:themeColor="accent6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bottom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ght List"/>
    <w:basedOn w:val="713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ght List Accent 1"/>
    <w:basedOn w:val="713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ght List Accent 2"/>
    <w:basedOn w:val="713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ght List Accent 3"/>
    <w:basedOn w:val="713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ght List Accent 4"/>
    <w:basedOn w:val="713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ght List Accent 5"/>
    <w:basedOn w:val="713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ght List Accent 6"/>
    <w:basedOn w:val="713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ght Grid"/>
    <w:basedOn w:val="713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ght Grid Accent 1"/>
    <w:basedOn w:val="713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ght Grid Accent 2"/>
    <w:basedOn w:val="713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ght Grid Accent 3"/>
    <w:basedOn w:val="713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ght Grid Accent 4"/>
    <w:basedOn w:val="713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ght Grid Accent 5"/>
    <w:basedOn w:val="713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ght Grid Accent 6"/>
    <w:basedOn w:val="713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Medium Shading 1"/>
    <w:basedOn w:val="713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Medium Shading 1 Accent 1"/>
    <w:basedOn w:val="713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Medium Shading 1 Accent 2"/>
    <w:basedOn w:val="713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Medium Shading 1 Accent 3"/>
    <w:basedOn w:val="713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Medium Shading 1 Accent 4"/>
    <w:basedOn w:val="713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Medium Shading 1 Accent 5"/>
    <w:basedOn w:val="713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Medium Shading 1 Accent 6"/>
    <w:basedOn w:val="713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Medium Shading 2"/>
    <w:basedOn w:val="713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Medium Shading 2 Accent 1"/>
    <w:basedOn w:val="713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Medium Shading 2 Accent 2"/>
    <w:basedOn w:val="713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Medium Shading 2 Accent 3"/>
    <w:basedOn w:val="713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Medium Shading 2 Accent 4"/>
    <w:basedOn w:val="713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Medium Shading 2 Accent 5"/>
    <w:basedOn w:val="713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Medium Shading 2 Accent 6"/>
    <w:basedOn w:val="713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Medium List 1"/>
    <w:basedOn w:val="713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bottom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Medium List 1 Accent 1"/>
    <w:basedOn w:val="713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bottom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Medium List 1 Accent 2"/>
    <w:basedOn w:val="713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bottom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Medium List 1 Accent 3"/>
    <w:basedOn w:val="713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bottom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Medium List 1 Accent 4"/>
    <w:basedOn w:val="713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bottom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Medium List 1 Accent 5"/>
    <w:basedOn w:val="713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bottom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Medium List 1 Accent 6"/>
    <w:basedOn w:val="713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bottom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Medium List 2"/>
    <w:basedOn w:val="713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Medium List 2 Accent 1"/>
    <w:basedOn w:val="713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Medium List 2 Accent 2"/>
    <w:basedOn w:val="713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Medium List 2 Accent 3"/>
    <w:basedOn w:val="713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Medium List 2 Accent 4"/>
    <w:basedOn w:val="713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Medium List 2 Accent 5"/>
    <w:basedOn w:val="713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Medium List 2 Accent 6"/>
    <w:basedOn w:val="713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Medium Grid 1"/>
    <w:basedOn w:val="713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04040" w:themeColor="text1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Medium Grid 1 Accent 1"/>
    <w:basedOn w:val="713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7ba0cd" w:themeColor="accent1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Medium Grid 1 Accent 2"/>
    <w:basedOn w:val="713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cf7b79" w:themeColor="accent2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Medium Grid 1 Accent 3"/>
    <w:basedOn w:val="713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b3cc82" w:themeColor="accent3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Medium Grid 1 Accent 4"/>
    <w:basedOn w:val="713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9f8ab9" w:themeColor="accent4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Medium Grid 1 Accent 5"/>
    <w:basedOn w:val="713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78c0d4" w:themeColor="accent5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Medium Grid 1 Accent 6"/>
    <w:basedOn w:val="713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f9b074" w:themeColor="accent6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Medium Grid 2"/>
    <w:basedOn w:val="713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6e6e6" w:themeFill="text1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Medium Grid 2 Accent 1"/>
    <w:basedOn w:val="713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df2f8" w:themeFill="accent1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Medium Grid 2 Accent 2"/>
    <w:basedOn w:val="713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8eded" w:themeFill="accent2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Medium Grid 2 Accent 3"/>
    <w:basedOn w:val="713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5f8ee" w:themeFill="accent3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Medium Grid 2 Accent 4"/>
    <w:basedOn w:val="713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2eff6" w:themeFill="accent4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Medium Grid 2 Accent 5"/>
    <w:basedOn w:val="713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df6f9" w:themeFill="accent5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Medium Grid 2 Accent 6"/>
    <w:basedOn w:val="713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ef4ec" w:themeFill="accent6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Medium Grid 3"/>
    <w:basedOn w:val="713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Medium Grid 3 Accent 1"/>
    <w:basedOn w:val="713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Medium Grid 3 Accent 2"/>
    <w:basedOn w:val="713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Medium Grid 3 Accent 3"/>
    <w:basedOn w:val="713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Medium Grid 3 Accent 4"/>
    <w:basedOn w:val="713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Medium Grid 3 Accent 5"/>
    <w:basedOn w:val="713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Medium Grid 3 Accent 6"/>
    <w:basedOn w:val="713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Dark List"/>
    <w:basedOn w:val="713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000000" w:themeFill="text1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Dark List Accent 1"/>
    <w:basedOn w:val="713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4f81bd" w:themeFill="accent1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Dark List Accent 2"/>
    <w:basedOn w:val="713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c0504d" w:themeFill="accent2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Dark List Accent 3"/>
    <w:basedOn w:val="713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9bbb59" w:themeFill="accent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Dark List Accent 4"/>
    <w:basedOn w:val="713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8064a2" w:themeFill="accent4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Dark List Accent 5"/>
    <w:basedOn w:val="713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4bacc6" w:themeFill="accent5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Dark List Accent 6"/>
    <w:basedOn w:val="713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79646" w:themeFill="accent6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Colorful Shading"/>
    <w:basedOn w:val="713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Colorful Shading Accent 1"/>
    <w:basedOn w:val="713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Colorful Shading Accent 2"/>
    <w:basedOn w:val="713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Colorful Shading Accent 3"/>
    <w:basedOn w:val="713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Colorful Shading Accent 4"/>
    <w:basedOn w:val="713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Colorful Shading Accent 5"/>
    <w:basedOn w:val="713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Colorful Shading Accent 6"/>
    <w:basedOn w:val="713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Colorful List"/>
    <w:basedOn w:val="713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6e6e6" w:themeFill="tex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Colorful List Accent 1"/>
    <w:basedOn w:val="713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df2f8" w:themeFill="accen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be5f1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Colorful List Accent 2"/>
    <w:basedOn w:val="713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8eded" w:themeFill="accent2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2dbdb" w:themeFill="accent2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Colorful List Accent 3"/>
    <w:basedOn w:val="713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5f8ee" w:themeFill="accent3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af1dd" w:themeFill="accent3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664e82" w:themeColor="accent4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Colorful List Accent 4"/>
    <w:basedOn w:val="713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2eff6" w:themeFill="accent4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5dfec" w:themeFill="accent4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7e9c40" w:themeColor="accent3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Colorful List Accent 5"/>
    <w:basedOn w:val="713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df6f9" w:themeFill="accent5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aeef3" w:themeFill="accent5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f2730a" w:themeColor="accent6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Colorful List Accent 6"/>
    <w:basedOn w:val="713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ef4ec" w:themeFill="accent6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9d9" w:themeFill="accent6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348da5" w:themeColor="accent5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Colorful Grid"/>
    <w:basedOn w:val="713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Colorful Grid Accent 1"/>
    <w:basedOn w:val="713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Colorful Grid Accent 2"/>
    <w:basedOn w:val="713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Colorful Grid Accent 3"/>
    <w:basedOn w:val="713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Colorful Grid Accent 4"/>
    <w:basedOn w:val="713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Colorful Grid Accent 5"/>
    <w:basedOn w:val="713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Colorful Grid Accent 6"/>
    <w:basedOn w:val="713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Manager/>
  <Company/>
  <LinksUpToDate>0</LinksUpToDate>
  <SharedDoc>0</SharedDoc>
  <HyperlinkBase/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modified xsi:type="dcterms:W3CDTF">2026-05-20T17:36:21Z</dcterms:modified>
</cp:coreProperties>
</file>